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228.0" w:type="dxa"/>
        <w:jc w:val="left"/>
        <w:tblInd w:w="-230.0" w:type="dxa"/>
        <w:tblBorders>
          <w:top w:color="9bbb59" w:space="0" w:sz="8" w:val="single"/>
          <w:left w:color="9bbb59" w:space="0" w:sz="8" w:val="single"/>
          <w:bottom w:color="9bbb59" w:space="0" w:sz="8" w:val="single"/>
          <w:right w:color="9bbb59" w:space="0" w:sz="8" w:val="single"/>
          <w:insideH w:color="000000" w:space="0" w:sz="4" w:val="single"/>
          <w:insideV w:color="000000" w:space="0" w:sz="4" w:val="single"/>
        </w:tblBorders>
        <w:tblLayout w:type="fixed"/>
        <w:tblLook w:val="0000"/>
      </w:tblPr>
      <w:tblGrid>
        <w:gridCol w:w="2388"/>
        <w:gridCol w:w="6840"/>
        <w:tblGridChange w:id="0">
          <w:tblGrid>
            <w:gridCol w:w="2388"/>
            <w:gridCol w:w="6840"/>
          </w:tblGrid>
        </w:tblGridChange>
      </w:tblGrid>
      <w:tr>
        <w:trPr>
          <w:cantSplit w:val="0"/>
          <w:trHeight w:val="580" w:hRule="atLeast"/>
          <w:tblHeader w:val="0"/>
        </w:trPr>
        <w:tc>
          <w:tcPr>
            <w:shd w:fill="ffffff" w:val="clear"/>
            <w:vAlign w:val="center"/>
          </w:tcPr>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CÓDIGO ENSAYO</w:t>
            </w:r>
          </w:p>
        </w:tc>
        <w:tc>
          <w:tcPr>
            <w:shd w:fill="ffffff" w:val="clear"/>
            <w:vAlign w:val="center"/>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color w:val="000000"/>
                <w:sz w:val="28"/>
                <w:szCs w:val="28"/>
              </w:rPr>
            </w:pPr>
            <w:bookmarkStart w:colFirst="0" w:colLast="0" w:name="_heading=h.whqvwxtlf820" w:id="0"/>
            <w:bookmarkEnd w:id="0"/>
            <w:r w:rsidDel="00000000" w:rsidR="00000000" w:rsidRPr="00000000">
              <w:rPr>
                <w:rFonts w:ascii="Arial" w:cs="Arial" w:eastAsia="Arial" w:hAnsi="Arial"/>
                <w:b w:val="1"/>
                <w:bCs w:val="1"/>
                <w:rtl w:val="0"/>
              </w:rPr>
              <w:t xml:space="preserve">QAI-ACE1-016-TEST DE JARRAS PARA DETERMINACIÓN DE CONCENTRACIÓN DE COAGULANTES EN AGUAS</w:t>
            </w:r>
            <w:r w:rsidDel="00000000" w:rsidR="00000000" w:rsidRPr="00000000">
              <w:rPr>
                <w:rtl w:val="0"/>
              </w:rPr>
            </w:r>
          </w:p>
        </w:tc>
      </w:tr>
      <w:tr>
        <w:trPr>
          <w:cantSplit w:val="0"/>
          <w:trHeight w:val="520" w:hRule="atLeast"/>
          <w:tblHeader w:val="0"/>
        </w:trPr>
        <w:tc>
          <w:tcPr>
            <w:vAlign w:val="center"/>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PROGRAMA</w:t>
            </w:r>
          </w:p>
        </w:tc>
        <w:tc>
          <w:tcPr>
            <w:vAlign w:val="center"/>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color w:val="000000"/>
              </w:rPr>
            </w:pPr>
            <w:r w:rsidDel="00000000" w:rsidR="00000000" w:rsidRPr="00000000">
              <w:rPr>
                <w:rFonts w:ascii="Arial" w:cs="Arial" w:eastAsia="Arial" w:hAnsi="Arial"/>
                <w:color w:val="000000"/>
                <w:rtl w:val="0"/>
              </w:rPr>
              <w:t xml:space="preserve">TÉCNICO EN MANEJO AMBIENTAL</w:t>
            </w:r>
          </w:p>
        </w:tc>
      </w:tr>
      <w:tr>
        <w:trPr>
          <w:cantSplit w:val="0"/>
          <w:tblHeader w:val="0"/>
        </w:trPr>
        <w:tc>
          <w:tcPr>
            <w:vAlign w:val="center"/>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NORMA DE COMPETENCIA</w:t>
            </w:r>
          </w:p>
        </w:tc>
        <w:tc>
          <w:tcPr>
            <w:vAlign w:val="center"/>
          </w:tcPr>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color w:val="000000"/>
              </w:rPr>
            </w:pPr>
            <w:r w:rsidDel="00000000" w:rsidR="00000000" w:rsidRPr="00000000">
              <w:rPr>
                <w:rFonts w:ascii="Arial" w:cs="Arial" w:eastAsia="Arial" w:hAnsi="Arial"/>
                <w:color w:val="000000"/>
                <w:rtl w:val="0"/>
              </w:rPr>
              <w:t xml:space="preserve">CARACTERIZAR FÍSICA, QUÍMICA Y MICROBIOLOGICAMENTE EL AGUA EN LOS PROCESOS DE TRATAMIENTO</w:t>
            </w:r>
          </w:p>
        </w:tc>
      </w:tr>
      <w:tr>
        <w:trPr>
          <w:cantSplit w:val="0"/>
          <w:tblHeader w:val="0"/>
        </w:trPr>
        <w:tc>
          <w:tcPr>
            <w:vAlign w:val="center"/>
          </w:tcPr>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RESULTADO DE APRENDIZAJE</w:t>
            </w:r>
          </w:p>
        </w:tc>
        <w:tc>
          <w:tcPr>
            <w:vAlign w:val="center"/>
          </w:tcPr>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color w:val="000000"/>
              </w:rPr>
            </w:pPr>
            <w:r w:rsidDel="00000000" w:rsidR="00000000" w:rsidRPr="00000000">
              <w:rPr>
                <w:rFonts w:ascii="Arial" w:cs="Arial" w:eastAsia="Arial" w:hAnsi="Arial"/>
                <w:rtl w:val="0"/>
              </w:rPr>
              <w:t xml:space="preserve">MANEJAR MUESTRAS PARA ANÁLISIS.</w:t>
            </w:r>
            <w:r w:rsidDel="00000000" w:rsidR="00000000" w:rsidRPr="00000000">
              <w:rPr>
                <w:rtl w:val="0"/>
              </w:rPr>
            </w:r>
          </w:p>
        </w:tc>
      </w:tr>
    </w:tbl>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rPr>
      </w:pP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bookmarkStart w:colFirst="0" w:colLast="0" w:name="_heading=h.7r54gi94uok8" w:id="1"/>
      <w:bookmarkEnd w:id="1"/>
      <w:r w:rsidDel="00000000" w:rsidR="00000000" w:rsidRPr="00000000">
        <w:rPr>
          <w:rFonts w:ascii="Arial" w:cs="Arial" w:eastAsia="Arial" w:hAnsi="Arial"/>
          <w:b w:val="1"/>
          <w:bCs w:val="1"/>
          <w:i w:val="1"/>
          <w:iCs w:val="1"/>
          <w:color w:val="000000"/>
          <w:rtl w:val="0"/>
        </w:rPr>
        <w:t xml:space="preserve">Discusión general</w:t>
      </w:r>
    </w:p>
    <w:p w:rsidR="00000000" w:rsidDel="00000000" w:rsidP="00000000" w:rsidRDefault="00000000" w:rsidRPr="00000000" w14:paraId="0000000E">
      <w:pPr>
        <w:ind w:left="360" w:firstLine="0"/>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Las aguas residuales industriales antes de ser vertidas al exterior deben sufrir un tratamiento que garantice su inocuidad y que las haga cumplir la normativa medioambiental vigente. La eliminación de metales pesados y agentes tóxicos es algo evidente, pero en muchos casos, estas aguas presentan además una coloración o turbidez debido a sustancias disueltas o en suspensión que en principio no se consideran tóxicas, aunque perturban el uso posterior de las mismas (contaminación). La eliminación de estas sustancias se realiza por:</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jc w:val="both"/>
        <w:rPr>
          <w:rFonts w:ascii="Arial" w:cs="Arial" w:eastAsia="Arial" w:hAnsi="Arial"/>
        </w:rPr>
      </w:pPr>
      <w:r w:rsidDel="00000000" w:rsidR="00000000" w:rsidRPr="00000000">
        <w:rPr>
          <w:rFonts w:ascii="Arial" w:cs="Arial" w:eastAsia="Arial" w:hAnsi="Arial"/>
          <w:rtl w:val="0"/>
        </w:rPr>
        <w:t xml:space="preserve">Precipitación o sedimentación de las partículas de gran tamaño (&gt;1micra) que se encuentran en suspensión. Proceso físico-químico coagulación-floculación de partículas de tamaño intermedio que se presentan en forma de coloides.</w:t>
      </w:r>
    </w:p>
    <w:p w:rsidR="00000000" w:rsidDel="00000000" w:rsidP="00000000" w:rsidRDefault="00000000" w:rsidRPr="00000000" w14:paraId="00000012">
      <w:pPr>
        <w:jc w:val="both"/>
        <w:rPr>
          <w:rFonts w:ascii="Arial" w:cs="Arial" w:eastAsia="Arial" w:hAnsi="Arial"/>
        </w:rPr>
      </w:pPr>
      <w:r w:rsidDel="00000000" w:rsidR="00000000" w:rsidRPr="00000000">
        <w:rPr>
          <w:rtl w:val="0"/>
        </w:rPr>
      </w:r>
    </w:p>
    <w:p w:rsidR="00000000" w:rsidDel="00000000" w:rsidP="00000000" w:rsidRDefault="00000000" w:rsidRPr="00000000" w14:paraId="00000013">
      <w:pPr>
        <w:jc w:val="both"/>
        <w:rPr>
          <w:rFonts w:ascii="Arial" w:cs="Arial" w:eastAsia="Arial" w:hAnsi="Arial"/>
        </w:rPr>
      </w:pPr>
      <w:r w:rsidDel="00000000" w:rsidR="00000000" w:rsidRPr="00000000">
        <w:rPr>
          <w:rFonts w:ascii="Arial" w:cs="Arial" w:eastAsia="Arial" w:hAnsi="Arial"/>
          <w:rtl w:val="0"/>
        </w:rPr>
        <w:t xml:space="preserve">Absorción de partículas de menor tamaño (milésima de micra) que se encuentran disueltas. Todos estos procesos son de descripción sencilla pero hay que tener en cuenta que cuando nos manejamos con grandes cantidades de agua, a nivel industrial, hay que seleccionar y optimizar los parámetros adecuados para minimizar costes y esfuerzos.</w:t>
      </w:r>
    </w:p>
    <w:p w:rsidR="00000000" w:rsidDel="00000000" w:rsidP="00000000" w:rsidRDefault="00000000" w:rsidRPr="00000000" w14:paraId="00000014">
      <w:pPr>
        <w:jc w:val="both"/>
        <w:rPr>
          <w:rFonts w:ascii="Arial" w:cs="Arial" w:eastAsia="Arial" w:hAnsi="Arial"/>
        </w:rPr>
      </w:pPr>
      <w:r w:rsidDel="00000000" w:rsidR="00000000" w:rsidRPr="00000000">
        <w:rPr>
          <w:rtl w:val="0"/>
        </w:rPr>
      </w:r>
    </w:p>
    <w:p w:rsidR="00000000" w:rsidDel="00000000" w:rsidP="00000000" w:rsidRDefault="00000000" w:rsidRPr="00000000" w14:paraId="00000015">
      <w:pPr>
        <w:jc w:val="both"/>
        <w:rPr>
          <w:rFonts w:ascii="Arial" w:cs="Arial" w:eastAsia="Arial" w:hAnsi="Arial"/>
        </w:rPr>
      </w:pPr>
      <w:r w:rsidDel="00000000" w:rsidR="00000000" w:rsidRPr="00000000">
        <w:rPr>
          <w:rFonts w:ascii="Arial" w:cs="Arial" w:eastAsia="Arial" w:hAnsi="Arial"/>
          <w:rtl w:val="0"/>
        </w:rPr>
        <w:t xml:space="preserve">En las partículas de tamaño intermedio (las que corresponden al tamaño coloidal) las propiedades superficiales y las cargas eléctricas tienen un mayor efecto sobre el peso relativo de la partícula en el agua, impidiendo en ese caso su sedimentación.</w:t>
      </w:r>
    </w:p>
    <w:p w:rsidR="00000000" w:rsidDel="00000000" w:rsidP="00000000" w:rsidRDefault="00000000" w:rsidRPr="00000000" w14:paraId="00000016">
      <w:pPr>
        <w:jc w:val="both"/>
        <w:rPr>
          <w:rFonts w:ascii="Arial" w:cs="Arial" w:eastAsia="Arial" w:hAnsi="Arial"/>
        </w:rPr>
      </w:pPr>
      <w:r w:rsidDel="00000000" w:rsidR="00000000" w:rsidRPr="00000000">
        <w:rPr>
          <w:rtl w:val="0"/>
        </w:rPr>
      </w:r>
    </w:p>
    <w:p w:rsidR="00000000" w:rsidDel="00000000" w:rsidP="00000000" w:rsidRDefault="00000000" w:rsidRPr="00000000" w14:paraId="00000017">
      <w:pPr>
        <w:jc w:val="both"/>
        <w:rPr>
          <w:rFonts w:ascii="Arial" w:cs="Arial" w:eastAsia="Arial" w:hAnsi="Arial"/>
        </w:rPr>
      </w:pPr>
      <w:r w:rsidDel="00000000" w:rsidR="00000000" w:rsidRPr="00000000">
        <w:rPr>
          <w:rFonts w:ascii="Arial" w:cs="Arial" w:eastAsia="Arial" w:hAnsi="Arial"/>
          <w:rtl w:val="0"/>
        </w:rPr>
        <w:t xml:space="preserve">Las partículas coloidales presentan cargas superficiales electrostáticas que hacen que existan fuerzas de repulsión entre ellas que impiden su aglomeración y por consiguiente su precipitación. Estas cargas suelen ser negativas y, por tanto, la coagulación consistiría en neutralizar estas cargas superficiales mediante la adición de electrolitos de carga opuesta (coagulantes o floculantes catiónicos, por ejemplo, Al3+ ó Fe2+).</w:t>
      </w:r>
    </w:p>
    <w:p w:rsidR="00000000" w:rsidDel="00000000" w:rsidP="00000000" w:rsidRDefault="00000000" w:rsidRPr="00000000" w14:paraId="00000018">
      <w:pPr>
        <w:jc w:val="both"/>
        <w:rPr>
          <w:rFonts w:ascii="Arial" w:cs="Arial" w:eastAsia="Arial" w:hAnsi="Arial"/>
        </w:rPr>
      </w:pPr>
      <w:r w:rsidDel="00000000" w:rsidR="00000000" w:rsidRPr="00000000">
        <w:rPr>
          <w:rtl w:val="0"/>
        </w:rPr>
      </w:r>
    </w:p>
    <w:p w:rsidR="00000000" w:rsidDel="00000000" w:rsidP="00000000" w:rsidRDefault="00000000" w:rsidRPr="00000000" w14:paraId="00000019">
      <w:pPr>
        <w:jc w:val="both"/>
        <w:rPr>
          <w:rFonts w:ascii="Arial" w:cs="Arial" w:eastAsia="Arial" w:hAnsi="Arial"/>
        </w:rPr>
      </w:pPr>
      <w:r w:rsidDel="00000000" w:rsidR="00000000" w:rsidRPr="00000000">
        <w:rPr>
          <w:rFonts w:ascii="Arial" w:cs="Arial" w:eastAsia="Arial" w:hAnsi="Arial"/>
          <w:rtl w:val="0"/>
        </w:rPr>
        <w:t xml:space="preserve">El test de Jarras es el procedimiento habitual utilizado en el laboratorio para determinar las condiciones óptimas de operatividad para el tratamiento de aguas residuales. Este test simula el proceso de coagulación/ floculación que se utiliza para eliminar las partículas en disolución que pueden producir turbidez, olor o cambio de color del efluente.</w:t>
      </w:r>
    </w:p>
    <w:p w:rsidR="00000000" w:rsidDel="00000000" w:rsidP="00000000" w:rsidRDefault="00000000" w:rsidRPr="00000000" w14:paraId="0000001A">
      <w:pPr>
        <w:jc w:val="both"/>
        <w:rPr>
          <w:rFonts w:ascii="Arial" w:cs="Arial" w:eastAsia="Arial" w:hAnsi="Arial"/>
        </w:rPr>
      </w:pPr>
      <w:r w:rsidDel="00000000" w:rsidR="00000000" w:rsidRPr="00000000">
        <w:rPr>
          <w:rtl w:val="0"/>
        </w:rPr>
      </w:r>
    </w:p>
    <w:p w:rsidR="00000000" w:rsidDel="00000000" w:rsidP="00000000" w:rsidRDefault="00000000" w:rsidRPr="00000000" w14:paraId="0000001B">
      <w:pPr>
        <w:jc w:val="both"/>
        <w:rPr>
          <w:rFonts w:ascii="Arial" w:cs="Arial" w:eastAsia="Arial" w:hAnsi="Arial"/>
        </w:rPr>
      </w:pPr>
      <w:r w:rsidDel="00000000" w:rsidR="00000000" w:rsidRPr="00000000">
        <w:rPr>
          <w:rFonts w:ascii="Arial" w:cs="Arial" w:eastAsia="Arial" w:hAnsi="Arial"/>
          <w:rtl w:val="0"/>
        </w:rPr>
        <w:t xml:space="preserve">Este método conlleva el ajuste del pH, selección del agente coagulante y de su dosis adecuados, elección de velocidad y tiempo de agitación de las palas así como tiempo de reposo posterior. [1]</w:t>
      </w:r>
    </w:p>
    <w:p w:rsidR="00000000" w:rsidDel="00000000" w:rsidP="00000000" w:rsidRDefault="00000000" w:rsidRPr="00000000" w14:paraId="0000001C">
      <w:pPr>
        <w:jc w:val="both"/>
        <w:rPr>
          <w:rFonts w:ascii="Arial" w:cs="Arial" w:eastAsia="Arial" w:hAnsi="Arial"/>
        </w:rPr>
      </w:pPr>
      <w:r w:rsidDel="00000000" w:rsidR="00000000" w:rsidRPr="00000000">
        <w:rPr>
          <w:rtl w:val="0"/>
        </w:rPr>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Materiales</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720" w:hanging="720"/>
        <w:jc w:val="both"/>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ind w:left="993" w:hanging="283"/>
        <w:jc w:val="both"/>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Materiales para preparación de reactivos</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993" w:hanging="720"/>
        <w:jc w:val="both"/>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ind w:left="1713" w:hanging="360"/>
        <w:jc w:val="both"/>
        <w:rPr>
          <w:b w:val="1"/>
          <w:bCs w:val="1"/>
          <w:i w:val="1"/>
          <w:iCs w:val="1"/>
          <w:color w:val="000000"/>
        </w:rPr>
      </w:pPr>
      <w:r w:rsidDel="00000000" w:rsidR="00000000" w:rsidRPr="00000000">
        <w:rPr>
          <w:rFonts w:ascii="Arial" w:cs="Arial" w:eastAsia="Arial" w:hAnsi="Arial"/>
          <w:color w:val="000000"/>
          <w:rtl w:val="0"/>
        </w:rPr>
        <w:t xml:space="preserve">Espátula</w:t>
      </w:r>
      <w:r w:rsidDel="00000000" w:rsidR="00000000" w:rsidRPr="00000000">
        <w:rPr>
          <w:rtl w:val="0"/>
        </w:rPr>
      </w:r>
    </w:p>
    <w:p w:rsidR="00000000" w:rsidDel="00000000" w:rsidP="00000000" w:rsidRDefault="00000000" w:rsidRPr="00000000" w14:paraId="00000022">
      <w:pPr>
        <w:numPr>
          <w:ilvl w:val="0"/>
          <w:numId w:val="3"/>
        </w:numPr>
        <w:pBdr>
          <w:top w:space="0" w:sz="0" w:val="nil"/>
          <w:left w:space="0" w:sz="0" w:val="nil"/>
          <w:bottom w:space="0" w:sz="0" w:val="nil"/>
          <w:right w:space="0" w:sz="0" w:val="nil"/>
          <w:between w:space="0" w:sz="0" w:val="nil"/>
        </w:pBdr>
        <w:ind w:left="1713" w:hanging="360"/>
        <w:jc w:val="both"/>
        <w:rPr>
          <w:b w:val="1"/>
          <w:bCs w:val="1"/>
          <w:i w:val="1"/>
          <w:iCs w:val="1"/>
          <w:color w:val="000000"/>
        </w:rPr>
      </w:pPr>
      <w:r w:rsidDel="00000000" w:rsidR="00000000" w:rsidRPr="00000000">
        <w:rPr>
          <w:rFonts w:ascii="Arial" w:cs="Arial" w:eastAsia="Arial" w:hAnsi="Arial"/>
          <w:color w:val="000000"/>
          <w:rtl w:val="0"/>
        </w:rPr>
        <w:t xml:space="preserve">Vidrio reloj</w:t>
      </w:r>
      <w:r w:rsidDel="00000000" w:rsidR="00000000" w:rsidRPr="00000000">
        <w:rPr>
          <w:rtl w:val="0"/>
        </w:rPr>
      </w:r>
    </w:p>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ind w:left="1713" w:hanging="360"/>
        <w:jc w:val="both"/>
        <w:rPr>
          <w:b w:val="1"/>
          <w:bCs w:val="1"/>
          <w:i w:val="1"/>
          <w:iCs w:val="1"/>
          <w:color w:val="000000"/>
        </w:rPr>
      </w:pPr>
      <w:r w:rsidDel="00000000" w:rsidR="00000000" w:rsidRPr="00000000">
        <w:rPr>
          <w:rFonts w:ascii="Arial" w:cs="Arial" w:eastAsia="Arial" w:hAnsi="Arial"/>
          <w:color w:val="000000"/>
          <w:rtl w:val="0"/>
        </w:rPr>
        <w:t xml:space="preserve">Agitador de vidrio o magnético.</w:t>
      </w:r>
      <w:r w:rsidDel="00000000" w:rsidR="00000000" w:rsidRPr="00000000">
        <w:rPr>
          <w:rtl w:val="0"/>
        </w:rPr>
      </w:r>
    </w:p>
    <w:p w:rsidR="00000000" w:rsidDel="00000000" w:rsidP="00000000" w:rsidRDefault="00000000" w:rsidRPr="00000000" w14:paraId="00000024">
      <w:pPr>
        <w:numPr>
          <w:ilvl w:val="0"/>
          <w:numId w:val="3"/>
        </w:numPr>
        <w:pBdr>
          <w:top w:space="0" w:sz="0" w:val="nil"/>
          <w:left w:space="0" w:sz="0" w:val="nil"/>
          <w:bottom w:space="0" w:sz="0" w:val="nil"/>
          <w:right w:space="0" w:sz="0" w:val="nil"/>
          <w:between w:space="0" w:sz="0" w:val="nil"/>
        </w:pBdr>
        <w:ind w:left="1713" w:hanging="360"/>
        <w:jc w:val="both"/>
        <w:rPr>
          <w:b w:val="1"/>
          <w:bCs w:val="1"/>
          <w:i w:val="1"/>
          <w:iCs w:val="1"/>
          <w:color w:val="000000"/>
        </w:rPr>
      </w:pPr>
      <w:r w:rsidDel="00000000" w:rsidR="00000000" w:rsidRPr="00000000">
        <w:rPr>
          <w:rFonts w:ascii="Arial" w:cs="Arial" w:eastAsia="Arial" w:hAnsi="Arial"/>
          <w:color w:val="000000"/>
          <w:rtl w:val="0"/>
        </w:rPr>
        <w:t xml:space="preserve">Vasos de precipitado 100 mL (2 por equipo de trabajo)</w:t>
      </w:r>
      <w:r w:rsidDel="00000000" w:rsidR="00000000" w:rsidRPr="00000000">
        <w:rPr>
          <w:rtl w:val="0"/>
        </w:rPr>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ind w:left="1713" w:hanging="360"/>
        <w:jc w:val="both"/>
        <w:rPr>
          <w:b w:val="1"/>
          <w:bCs w:val="1"/>
          <w:i w:val="1"/>
          <w:iCs w:val="1"/>
          <w:color w:val="000000"/>
        </w:rPr>
      </w:pPr>
      <w:r w:rsidDel="00000000" w:rsidR="00000000" w:rsidRPr="00000000">
        <w:rPr>
          <w:rFonts w:ascii="Arial" w:cs="Arial" w:eastAsia="Arial" w:hAnsi="Arial"/>
          <w:color w:val="000000"/>
          <w:rtl w:val="0"/>
        </w:rPr>
        <w:t xml:space="preserve">Balón aforado de 100 mL (1 por reactivo)</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1713" w:hanging="720"/>
        <w:jc w:val="both"/>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ind w:left="993" w:hanging="283"/>
        <w:jc w:val="both"/>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Materiales para realización de test de jarras. </w:t>
      </w:r>
    </w:p>
    <w:p w:rsidR="00000000" w:rsidDel="00000000" w:rsidP="00000000" w:rsidRDefault="00000000" w:rsidRPr="00000000" w14:paraId="00000028">
      <w:pPr>
        <w:ind w:left="993" w:hanging="720"/>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29">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Vasos de precipitado 800 mL ( 6 unidades por floculador) </w:t>
      </w:r>
      <w:r w:rsidDel="00000000" w:rsidR="00000000" w:rsidRPr="00000000">
        <w:rPr>
          <w:rtl w:val="0"/>
        </w:rPr>
      </w:r>
    </w:p>
    <w:p w:rsidR="00000000" w:rsidDel="00000000" w:rsidP="00000000" w:rsidRDefault="00000000" w:rsidRPr="00000000" w14:paraId="0000002A">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Frasco lavador.</w:t>
      </w:r>
      <w:r w:rsidDel="00000000" w:rsidR="00000000" w:rsidRPr="00000000">
        <w:rPr>
          <w:rtl w:val="0"/>
        </w:rPr>
      </w:r>
    </w:p>
    <w:p w:rsidR="00000000" w:rsidDel="00000000" w:rsidP="00000000" w:rsidRDefault="00000000" w:rsidRPr="00000000" w14:paraId="0000002B">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Pipetas graduadas de 10 mL (2 por grupo de trabajo)</w:t>
      </w:r>
      <w:r w:rsidDel="00000000" w:rsidR="00000000" w:rsidRPr="00000000">
        <w:rPr>
          <w:rtl w:val="0"/>
        </w:rPr>
      </w:r>
    </w:p>
    <w:p w:rsidR="00000000" w:rsidDel="00000000" w:rsidP="00000000" w:rsidRDefault="00000000" w:rsidRPr="00000000" w14:paraId="0000002C">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Beaker de 50 mL(2 por grupo de trabajo)</w:t>
      </w:r>
      <w:r w:rsidDel="00000000" w:rsidR="00000000" w:rsidRPr="00000000">
        <w:rPr>
          <w:rtl w:val="0"/>
        </w:rPr>
      </w:r>
    </w:p>
    <w:p w:rsidR="00000000" w:rsidDel="00000000" w:rsidP="00000000" w:rsidRDefault="00000000" w:rsidRPr="00000000" w14:paraId="0000002D">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Goteros de 50 mL (2 por reactivo)</w:t>
      </w:r>
      <w:r w:rsidDel="00000000" w:rsidR="00000000" w:rsidRPr="00000000">
        <w:rPr>
          <w:rtl w:val="0"/>
        </w:rPr>
      </w:r>
    </w:p>
    <w:p w:rsidR="00000000" w:rsidDel="00000000" w:rsidP="00000000" w:rsidRDefault="00000000" w:rsidRPr="00000000" w14:paraId="0000002E">
      <w:pPr>
        <w:numPr>
          <w:ilvl w:val="0"/>
          <w:numId w:val="4"/>
        </w:numPr>
        <w:ind w:left="1713" w:hanging="360"/>
        <w:jc w:val="both"/>
        <w:rPr>
          <w:b w:val="1"/>
          <w:bCs w:val="1"/>
          <w:i w:val="1"/>
          <w:iCs w:val="1"/>
        </w:rPr>
      </w:pPr>
      <w:r w:rsidDel="00000000" w:rsidR="00000000" w:rsidRPr="00000000">
        <w:rPr>
          <w:rFonts w:ascii="Arial" w:cs="Arial" w:eastAsia="Arial" w:hAnsi="Arial"/>
          <w:rtl w:val="0"/>
        </w:rPr>
        <w:t xml:space="preserve">Pipeteadores.</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720" w:firstLine="0"/>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720" w:firstLine="0"/>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31">
      <w:pPr>
        <w:numPr>
          <w:ilvl w:val="0"/>
          <w:numId w:val="1"/>
        </w:numPr>
        <w:ind w:left="720" w:hanging="360"/>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Materiales para Cono Imhoff.</w:t>
      </w:r>
    </w:p>
    <w:p w:rsidR="00000000" w:rsidDel="00000000" w:rsidP="00000000" w:rsidRDefault="00000000" w:rsidRPr="00000000" w14:paraId="00000032">
      <w:pPr>
        <w:numPr>
          <w:ilvl w:val="1"/>
          <w:numId w:val="1"/>
        </w:numPr>
        <w:ind w:left="1440" w:hanging="360"/>
        <w:jc w:val="both"/>
        <w:rPr>
          <w:rFonts w:ascii="Arial" w:cs="Arial" w:eastAsia="Arial" w:hAnsi="Arial"/>
          <w:u w:val="none"/>
        </w:rPr>
      </w:pPr>
      <w:r w:rsidDel="00000000" w:rsidR="00000000" w:rsidRPr="00000000">
        <w:rPr>
          <w:rFonts w:ascii="Arial" w:cs="Arial" w:eastAsia="Arial" w:hAnsi="Arial"/>
          <w:rtl w:val="0"/>
        </w:rPr>
        <w:t xml:space="preserve">Cono Imhoff con Soporte</w:t>
      </w:r>
      <w:r w:rsidDel="00000000" w:rsidR="00000000" w:rsidRPr="00000000">
        <w:rPr>
          <w:rtl w:val="0"/>
        </w:rPr>
      </w:r>
    </w:p>
    <w:p w:rsidR="00000000" w:rsidDel="00000000" w:rsidP="00000000" w:rsidRDefault="00000000" w:rsidRPr="00000000" w14:paraId="00000033">
      <w:pPr>
        <w:ind w:left="720" w:firstLine="0"/>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Instrumentos y equipos</w:t>
      </w:r>
    </w:p>
    <w:p w:rsidR="00000000" w:rsidDel="00000000" w:rsidP="00000000" w:rsidRDefault="00000000" w:rsidRPr="00000000" w14:paraId="00000036">
      <w:pPr>
        <w:jc w:val="both"/>
        <w:rPr>
          <w:rFonts w:ascii="Arial" w:cs="Arial" w:eastAsia="Arial" w:hAnsi="Arial"/>
        </w:rPr>
      </w:pPr>
      <w:r w:rsidDel="00000000" w:rsidR="00000000" w:rsidRPr="00000000">
        <w:rPr>
          <w:rtl w:val="0"/>
        </w:rPr>
      </w:r>
    </w:p>
    <w:p w:rsidR="00000000" w:rsidDel="00000000" w:rsidP="00000000" w:rsidRDefault="00000000" w:rsidRPr="00000000" w14:paraId="00000037">
      <w:pPr>
        <w:numPr>
          <w:ilvl w:val="0"/>
          <w:numId w:val="10"/>
        </w:numPr>
        <w:pBdr>
          <w:top w:space="0" w:sz="0" w:val="nil"/>
          <w:left w:space="0" w:sz="0" w:val="nil"/>
          <w:bottom w:space="0" w:sz="0" w:val="nil"/>
          <w:right w:space="0" w:sz="0" w:val="nil"/>
          <w:between w:space="0" w:sz="0" w:val="nil"/>
        </w:pBdr>
        <w:ind w:left="993" w:hanging="283"/>
        <w:jc w:val="both"/>
        <w:rPr>
          <w:b w:val="1"/>
          <w:bCs w:val="1"/>
          <w:color w:val="000000"/>
        </w:rPr>
      </w:pPr>
      <w:r w:rsidDel="00000000" w:rsidR="00000000" w:rsidRPr="00000000">
        <w:rPr>
          <w:rFonts w:ascii="Arial" w:cs="Arial" w:eastAsia="Arial" w:hAnsi="Arial"/>
          <w:color w:val="000000"/>
          <w:rtl w:val="0"/>
        </w:rPr>
        <w:t xml:space="preserve">Balanza analítica, con precisión de 0,0001 g.</w:t>
      </w:r>
      <w:r w:rsidDel="00000000" w:rsidR="00000000" w:rsidRPr="00000000">
        <w:rPr>
          <w:rtl w:val="0"/>
        </w:rPr>
      </w:r>
    </w:p>
    <w:p w:rsidR="00000000" w:rsidDel="00000000" w:rsidP="00000000" w:rsidRDefault="00000000" w:rsidRPr="00000000" w14:paraId="00000038">
      <w:pPr>
        <w:numPr>
          <w:ilvl w:val="0"/>
          <w:numId w:val="10"/>
        </w:numPr>
        <w:pBdr>
          <w:top w:space="0" w:sz="0" w:val="nil"/>
          <w:left w:space="0" w:sz="0" w:val="nil"/>
          <w:bottom w:space="0" w:sz="0" w:val="nil"/>
          <w:right w:space="0" w:sz="0" w:val="nil"/>
          <w:between w:space="0" w:sz="0" w:val="nil"/>
        </w:pBdr>
        <w:ind w:left="993" w:hanging="283"/>
        <w:jc w:val="both"/>
        <w:rPr>
          <w:b w:val="1"/>
          <w:bCs w:val="1"/>
          <w:color w:val="000000"/>
        </w:rPr>
      </w:pPr>
      <w:r w:rsidDel="00000000" w:rsidR="00000000" w:rsidRPr="00000000">
        <w:rPr>
          <w:rFonts w:ascii="Arial" w:cs="Arial" w:eastAsia="Arial" w:hAnsi="Arial"/>
          <w:color w:val="000000"/>
          <w:rtl w:val="0"/>
        </w:rPr>
        <w:t xml:space="preserve">Test de jarras.</w:t>
      </w:r>
      <w:r w:rsidDel="00000000" w:rsidR="00000000" w:rsidRPr="00000000">
        <w:rPr>
          <w:rtl w:val="0"/>
        </w:rPr>
      </w:r>
    </w:p>
    <w:p w:rsidR="00000000" w:rsidDel="00000000" w:rsidP="00000000" w:rsidRDefault="00000000" w:rsidRPr="00000000" w14:paraId="00000039">
      <w:pPr>
        <w:numPr>
          <w:ilvl w:val="0"/>
          <w:numId w:val="10"/>
        </w:numPr>
        <w:pBdr>
          <w:top w:space="0" w:sz="0" w:val="nil"/>
          <w:left w:space="0" w:sz="0" w:val="nil"/>
          <w:bottom w:space="0" w:sz="0" w:val="nil"/>
          <w:right w:space="0" w:sz="0" w:val="nil"/>
          <w:between w:space="0" w:sz="0" w:val="nil"/>
        </w:pBdr>
        <w:ind w:left="993" w:hanging="283"/>
        <w:jc w:val="both"/>
        <w:rPr>
          <w:b w:val="1"/>
          <w:bCs w:val="1"/>
          <w:color w:val="000000"/>
        </w:rPr>
      </w:pPr>
      <w:r w:rsidDel="00000000" w:rsidR="00000000" w:rsidRPr="00000000">
        <w:rPr>
          <w:rFonts w:ascii="Arial" w:cs="Arial" w:eastAsia="Arial" w:hAnsi="Arial"/>
          <w:color w:val="000000"/>
          <w:rtl w:val="0"/>
        </w:rPr>
        <w:t xml:space="preserve">Turbidimetro.</w:t>
      </w:r>
      <w:r w:rsidDel="00000000" w:rsidR="00000000" w:rsidRPr="00000000">
        <w:rPr>
          <w:rtl w:val="0"/>
        </w:rPr>
      </w:r>
    </w:p>
    <w:p w:rsidR="00000000" w:rsidDel="00000000" w:rsidP="00000000" w:rsidRDefault="00000000" w:rsidRPr="00000000" w14:paraId="0000003A">
      <w:pPr>
        <w:numPr>
          <w:ilvl w:val="0"/>
          <w:numId w:val="10"/>
        </w:numPr>
        <w:pBdr>
          <w:top w:space="0" w:sz="0" w:val="nil"/>
          <w:left w:space="0" w:sz="0" w:val="nil"/>
          <w:bottom w:space="0" w:sz="0" w:val="nil"/>
          <w:right w:space="0" w:sz="0" w:val="nil"/>
          <w:between w:space="0" w:sz="0" w:val="nil"/>
        </w:pBdr>
        <w:ind w:left="993" w:hanging="283"/>
        <w:jc w:val="both"/>
        <w:rPr>
          <w:b w:val="1"/>
          <w:bCs w:val="1"/>
          <w:color w:val="000000"/>
        </w:rPr>
      </w:pPr>
      <w:r w:rsidDel="00000000" w:rsidR="00000000" w:rsidRPr="00000000">
        <w:rPr>
          <w:rFonts w:ascii="Arial" w:cs="Arial" w:eastAsia="Arial" w:hAnsi="Arial"/>
          <w:color w:val="000000"/>
          <w:rtl w:val="0"/>
        </w:rPr>
        <w:t xml:space="preserve">Agitador magnético. </w:t>
      </w:r>
      <w:r w:rsidDel="00000000" w:rsidR="00000000" w:rsidRPr="00000000">
        <w:rPr>
          <w:rtl w:val="0"/>
        </w:rPr>
      </w:r>
    </w:p>
    <w:p w:rsidR="00000000" w:rsidDel="00000000" w:rsidP="00000000" w:rsidRDefault="00000000" w:rsidRPr="00000000" w14:paraId="0000003B">
      <w:pPr>
        <w:numPr>
          <w:ilvl w:val="0"/>
          <w:numId w:val="10"/>
        </w:numPr>
        <w:pBdr>
          <w:top w:space="0" w:sz="0" w:val="nil"/>
          <w:left w:space="0" w:sz="0" w:val="nil"/>
          <w:bottom w:space="0" w:sz="0" w:val="nil"/>
          <w:right w:space="0" w:sz="0" w:val="nil"/>
          <w:between w:space="0" w:sz="0" w:val="nil"/>
        </w:pBdr>
        <w:ind w:left="993" w:hanging="283"/>
        <w:jc w:val="both"/>
        <w:rPr>
          <w:b w:val="1"/>
          <w:bCs w:val="1"/>
          <w:color w:val="000000"/>
        </w:rPr>
      </w:pPr>
      <w:r w:rsidDel="00000000" w:rsidR="00000000" w:rsidRPr="00000000">
        <w:rPr>
          <w:rFonts w:ascii="Arial" w:cs="Arial" w:eastAsia="Arial" w:hAnsi="Arial"/>
          <w:color w:val="000000"/>
          <w:rtl w:val="0"/>
        </w:rPr>
        <w:t xml:space="preserve">Multiparámetro con sonda de pH.</w:t>
      </w:r>
      <w:r w:rsidDel="00000000" w:rsidR="00000000" w:rsidRPr="00000000">
        <w:rPr>
          <w:rtl w:val="0"/>
        </w:rPr>
      </w:r>
    </w:p>
    <w:p w:rsidR="00000000" w:rsidDel="00000000" w:rsidP="00000000" w:rsidRDefault="00000000" w:rsidRPr="00000000" w14:paraId="0000003C">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D">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E">
      <w:pPr>
        <w:ind w:left="72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3F">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Reactivos y preparación</w:t>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720" w:hanging="720"/>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ind w:left="1440" w:hanging="360"/>
        <w:rPr>
          <w:b w:val="1"/>
          <w:bCs w:val="1"/>
          <w:color w:val="000000"/>
        </w:rPr>
      </w:pPr>
      <w:r w:rsidDel="00000000" w:rsidR="00000000" w:rsidRPr="00000000">
        <w:rPr>
          <w:rFonts w:ascii="Arial" w:cs="Arial" w:eastAsia="Arial" w:hAnsi="Arial"/>
          <w:color w:val="000000"/>
          <w:rtl w:val="0"/>
        </w:rPr>
        <w:t xml:space="preserve">Solución Coagulante de Sulfato de aluminio 1 % p/v  disolver 1 g de sulfato de aluminio en 100 mL de agua destilada, mezclar y almacenar en botella de plástico.</w:t>
      </w:r>
      <w:r w:rsidDel="00000000" w:rsidR="00000000" w:rsidRPr="00000000">
        <w:rPr>
          <w:rtl w:val="0"/>
        </w:rPr>
      </w:r>
    </w:p>
    <w:p w:rsidR="00000000" w:rsidDel="00000000" w:rsidP="00000000" w:rsidRDefault="00000000" w:rsidRPr="00000000" w14:paraId="00000042">
      <w:pPr>
        <w:numPr>
          <w:ilvl w:val="0"/>
          <w:numId w:val="6"/>
        </w:numPr>
        <w:pBdr>
          <w:top w:space="0" w:sz="0" w:val="nil"/>
          <w:left w:space="0" w:sz="0" w:val="nil"/>
          <w:bottom w:space="0" w:sz="0" w:val="nil"/>
          <w:right w:space="0" w:sz="0" w:val="nil"/>
          <w:between w:space="0" w:sz="0" w:val="nil"/>
        </w:pBdr>
        <w:ind w:left="1440" w:hanging="360"/>
        <w:rPr>
          <w:b w:val="1"/>
          <w:bCs w:val="1"/>
          <w:color w:val="000000"/>
        </w:rPr>
      </w:pPr>
      <w:r w:rsidDel="00000000" w:rsidR="00000000" w:rsidRPr="00000000">
        <w:rPr>
          <w:rFonts w:ascii="Arial" w:cs="Arial" w:eastAsia="Arial" w:hAnsi="Arial"/>
          <w:color w:val="000000"/>
          <w:rtl w:val="0"/>
        </w:rPr>
        <w:t xml:space="preserve">Solución Coagulante de Cloruro férrico 1 % p/v  disolver 1 g de cloruro férrico en 100 mL de agua destilada, mezclar y almacenar en botella de plástico.</w:t>
      </w:r>
      <w:r w:rsidDel="00000000" w:rsidR="00000000" w:rsidRPr="00000000">
        <w:rPr>
          <w:rtl w:val="0"/>
        </w:rPr>
      </w:r>
    </w:p>
    <w:p w:rsidR="00000000" w:rsidDel="00000000" w:rsidP="00000000" w:rsidRDefault="00000000" w:rsidRPr="00000000" w14:paraId="00000043">
      <w:pPr>
        <w:numPr>
          <w:ilvl w:val="0"/>
          <w:numId w:val="6"/>
        </w:numPr>
        <w:pBdr>
          <w:top w:space="0" w:sz="0" w:val="nil"/>
          <w:left w:space="0" w:sz="0" w:val="nil"/>
          <w:bottom w:space="0" w:sz="0" w:val="nil"/>
          <w:right w:space="0" w:sz="0" w:val="nil"/>
          <w:between w:space="0" w:sz="0" w:val="nil"/>
        </w:pBdr>
        <w:ind w:left="1440" w:hanging="360"/>
        <w:rPr>
          <w:b w:val="1"/>
          <w:bCs w:val="1"/>
          <w:color w:val="000000"/>
        </w:rPr>
      </w:pPr>
      <w:r w:rsidDel="00000000" w:rsidR="00000000" w:rsidRPr="00000000">
        <w:rPr>
          <w:rFonts w:ascii="Arial" w:cs="Arial" w:eastAsia="Arial" w:hAnsi="Arial"/>
          <w:color w:val="000000"/>
          <w:rtl w:val="0"/>
        </w:rPr>
        <w:t xml:space="preserve">NaOH 0.1 M 100 mL.</w:t>
      </w:r>
      <w:r w:rsidDel="00000000" w:rsidR="00000000" w:rsidRPr="00000000">
        <w:rPr>
          <w:rtl w:val="0"/>
        </w:rPr>
      </w:r>
    </w:p>
    <w:p w:rsidR="00000000" w:rsidDel="00000000" w:rsidP="00000000" w:rsidRDefault="00000000" w:rsidRPr="00000000" w14:paraId="00000044">
      <w:pPr>
        <w:numPr>
          <w:ilvl w:val="0"/>
          <w:numId w:val="6"/>
        </w:numPr>
        <w:pBdr>
          <w:top w:space="0" w:sz="0" w:val="nil"/>
          <w:left w:space="0" w:sz="0" w:val="nil"/>
          <w:bottom w:space="0" w:sz="0" w:val="nil"/>
          <w:right w:space="0" w:sz="0" w:val="nil"/>
          <w:between w:space="0" w:sz="0" w:val="nil"/>
        </w:pBdr>
        <w:ind w:left="1440" w:hanging="360"/>
        <w:rPr>
          <w:b w:val="1"/>
          <w:bCs w:val="1"/>
          <w:color w:val="000000"/>
        </w:rPr>
      </w:pPr>
      <w:r w:rsidDel="00000000" w:rsidR="00000000" w:rsidRPr="00000000">
        <w:rPr>
          <w:rFonts w:ascii="Arial" w:cs="Arial" w:eastAsia="Arial" w:hAnsi="Arial"/>
          <w:color w:val="000000"/>
          <w:rtl w:val="0"/>
        </w:rPr>
        <w:t xml:space="preserve">HCl 0.1 M 100 mL.</w:t>
      </w:r>
      <w:r w:rsidDel="00000000" w:rsidR="00000000" w:rsidRPr="00000000">
        <w:rPr>
          <w:rtl w:val="0"/>
        </w:rPr>
      </w:r>
    </w:p>
    <w:p w:rsidR="00000000" w:rsidDel="00000000" w:rsidP="00000000" w:rsidRDefault="00000000" w:rsidRPr="00000000" w14:paraId="00000045">
      <w:pPr>
        <w:numPr>
          <w:ilvl w:val="0"/>
          <w:numId w:val="6"/>
        </w:numPr>
        <w:pBdr>
          <w:top w:space="0" w:sz="0" w:val="nil"/>
          <w:left w:space="0" w:sz="0" w:val="nil"/>
          <w:bottom w:space="0" w:sz="0" w:val="nil"/>
          <w:right w:space="0" w:sz="0" w:val="nil"/>
          <w:between w:space="0" w:sz="0" w:val="nil"/>
        </w:pBdr>
        <w:ind w:left="1440" w:hanging="360"/>
        <w:rPr>
          <w:b w:val="1"/>
          <w:bCs w:val="1"/>
          <w:color w:val="000000"/>
        </w:rPr>
      </w:pPr>
      <w:r w:rsidDel="00000000" w:rsidR="00000000" w:rsidRPr="00000000">
        <w:rPr>
          <w:rFonts w:ascii="Arial" w:cs="Arial" w:eastAsia="Arial" w:hAnsi="Arial"/>
          <w:color w:val="000000"/>
          <w:rtl w:val="0"/>
        </w:rPr>
        <w:t xml:space="preserve">Buffer de calibración de pH.</w:t>
      </w: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Elementos de Protección Personal (EPP) y dispositivos de seguridad</w:t>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Para la realización de esta práctica es necesario el uso de los siguientes EPP y dispositivos de seguridad:</w:t>
      </w:r>
    </w:p>
    <w:p w:rsidR="00000000" w:rsidDel="00000000" w:rsidP="00000000" w:rsidRDefault="00000000" w:rsidRPr="00000000" w14:paraId="0000004A">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4B">
      <w:pPr>
        <w:numPr>
          <w:ilvl w:val="0"/>
          <w:numId w:val="7"/>
        </w:numPr>
        <w:pBdr>
          <w:top w:space="0" w:sz="0" w:val="nil"/>
          <w:left w:space="0" w:sz="0" w:val="nil"/>
          <w:bottom w:space="0" w:sz="0" w:val="nil"/>
          <w:right w:space="0" w:sz="0" w:val="nil"/>
          <w:between w:space="0" w:sz="0" w:val="nil"/>
        </w:pBdr>
        <w:tabs>
          <w:tab w:val="left" w:leader="none" w:pos="1134"/>
        </w:tabs>
        <w:ind w:left="1560" w:hanging="425"/>
        <w:rPr>
          <w:color w:val="000000"/>
        </w:rPr>
      </w:pPr>
      <w:r w:rsidDel="00000000" w:rsidR="00000000" w:rsidRPr="00000000">
        <w:rPr>
          <w:rFonts w:ascii="Arial" w:cs="Arial" w:eastAsia="Arial" w:hAnsi="Arial"/>
          <w:color w:val="000000"/>
          <w:rtl w:val="0"/>
        </w:rPr>
        <w:t xml:space="preserve">Cabina de extracción.</w:t>
      </w:r>
      <w:r w:rsidDel="00000000" w:rsidR="00000000" w:rsidRPr="00000000">
        <w:rPr>
          <w:rtl w:val="0"/>
        </w:rPr>
      </w:r>
    </w:p>
    <w:p w:rsidR="00000000" w:rsidDel="00000000" w:rsidP="00000000" w:rsidRDefault="00000000" w:rsidRPr="00000000" w14:paraId="0000004C">
      <w:pPr>
        <w:numPr>
          <w:ilvl w:val="0"/>
          <w:numId w:val="7"/>
        </w:numPr>
        <w:pBdr>
          <w:top w:space="0" w:sz="0" w:val="nil"/>
          <w:left w:space="0" w:sz="0" w:val="nil"/>
          <w:bottom w:space="0" w:sz="0" w:val="nil"/>
          <w:right w:space="0" w:sz="0" w:val="nil"/>
          <w:between w:space="0" w:sz="0" w:val="nil"/>
        </w:pBdr>
        <w:tabs>
          <w:tab w:val="left" w:leader="none" w:pos="1134"/>
        </w:tabs>
        <w:ind w:left="1560" w:hanging="425"/>
        <w:rPr>
          <w:color w:val="000000"/>
        </w:rPr>
      </w:pPr>
      <w:r w:rsidDel="00000000" w:rsidR="00000000" w:rsidRPr="00000000">
        <w:rPr>
          <w:rFonts w:ascii="Arial" w:cs="Arial" w:eastAsia="Arial" w:hAnsi="Arial"/>
          <w:color w:val="000000"/>
          <w:rtl w:val="0"/>
        </w:rPr>
        <w:t xml:space="preserve">Fuente lava ojos.</w:t>
      </w:r>
      <w:r w:rsidDel="00000000" w:rsidR="00000000" w:rsidRPr="00000000">
        <w:rPr>
          <w:rtl w:val="0"/>
        </w:rPr>
      </w:r>
    </w:p>
    <w:p w:rsidR="00000000" w:rsidDel="00000000" w:rsidP="00000000" w:rsidRDefault="00000000" w:rsidRPr="00000000" w14:paraId="0000004D">
      <w:pPr>
        <w:numPr>
          <w:ilvl w:val="0"/>
          <w:numId w:val="7"/>
        </w:numPr>
        <w:pBdr>
          <w:top w:space="0" w:sz="0" w:val="nil"/>
          <w:left w:space="0" w:sz="0" w:val="nil"/>
          <w:bottom w:space="0" w:sz="0" w:val="nil"/>
          <w:right w:space="0" w:sz="0" w:val="nil"/>
          <w:between w:space="0" w:sz="0" w:val="nil"/>
        </w:pBdr>
        <w:tabs>
          <w:tab w:val="left" w:leader="none" w:pos="1134"/>
        </w:tabs>
        <w:ind w:left="1560" w:hanging="425"/>
        <w:rPr>
          <w:color w:val="000000"/>
        </w:rPr>
      </w:pPr>
      <w:r w:rsidDel="00000000" w:rsidR="00000000" w:rsidRPr="00000000">
        <w:rPr>
          <w:rFonts w:ascii="Arial" w:cs="Arial" w:eastAsia="Arial" w:hAnsi="Arial"/>
          <w:color w:val="000000"/>
          <w:rtl w:val="0"/>
        </w:rPr>
        <w:t xml:space="preserve">Gafas de seguridad.</w:t>
      </w:r>
      <w:r w:rsidDel="00000000" w:rsidR="00000000" w:rsidRPr="00000000">
        <w:rPr>
          <w:rtl w:val="0"/>
        </w:rPr>
      </w:r>
    </w:p>
    <w:p w:rsidR="00000000" w:rsidDel="00000000" w:rsidP="00000000" w:rsidRDefault="00000000" w:rsidRPr="00000000" w14:paraId="0000004E">
      <w:pPr>
        <w:numPr>
          <w:ilvl w:val="0"/>
          <w:numId w:val="7"/>
        </w:numPr>
        <w:pBdr>
          <w:top w:space="0" w:sz="0" w:val="nil"/>
          <w:left w:space="0" w:sz="0" w:val="nil"/>
          <w:bottom w:space="0" w:sz="0" w:val="nil"/>
          <w:right w:space="0" w:sz="0" w:val="nil"/>
          <w:between w:space="0" w:sz="0" w:val="nil"/>
        </w:pBdr>
        <w:tabs>
          <w:tab w:val="left" w:leader="none" w:pos="1134"/>
        </w:tabs>
        <w:ind w:left="1560" w:hanging="425"/>
        <w:rPr>
          <w:color w:val="000000"/>
        </w:rPr>
      </w:pPr>
      <w:r w:rsidDel="00000000" w:rsidR="00000000" w:rsidRPr="00000000">
        <w:rPr>
          <w:rFonts w:ascii="Arial" w:cs="Arial" w:eastAsia="Arial" w:hAnsi="Arial"/>
          <w:color w:val="000000"/>
          <w:rtl w:val="0"/>
        </w:rPr>
        <w:t xml:space="preserve">Guantes de nitrilo gruesos y delgados.</w:t>
      </w:r>
      <w:r w:rsidDel="00000000" w:rsidR="00000000" w:rsidRPr="00000000">
        <w:rPr>
          <w:rtl w:val="0"/>
        </w:rPr>
      </w:r>
    </w:p>
    <w:p w:rsidR="00000000" w:rsidDel="00000000" w:rsidP="00000000" w:rsidRDefault="00000000" w:rsidRPr="00000000" w14:paraId="0000004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0">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Condiciones de seguridad</w:t>
      </w:r>
    </w:p>
    <w:p w:rsidR="00000000" w:rsidDel="00000000" w:rsidP="00000000" w:rsidRDefault="00000000" w:rsidRPr="00000000" w14:paraId="00000051">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52">
      <w:pPr>
        <w:jc w:val="both"/>
        <w:rPr>
          <w:rFonts w:ascii="Arial" w:cs="Arial" w:eastAsia="Arial" w:hAnsi="Arial"/>
          <w:b w:val="1"/>
          <w:bCs w:val="1"/>
          <w:i w:val="1"/>
          <w:iCs w:val="1"/>
        </w:rPr>
      </w:pPr>
      <w:r w:rsidDel="00000000" w:rsidR="00000000" w:rsidRPr="00000000">
        <w:rPr>
          <w:rFonts w:ascii="Arial" w:cs="Arial" w:eastAsia="Arial" w:hAnsi="Arial"/>
          <w:rtl w:val="0"/>
        </w:rPr>
        <w:t xml:space="preserve">Use los EPP permanentemente mientras permanece dentro del laboratorio. No se retire los EPP hasta que haya abandonado definitivamente el laboratorio.</w:t>
      </w: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Procedimiento </w:t>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720" w:hanging="720"/>
        <w:jc w:val="both"/>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56">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Agregue 600 mL la muestra de agua residual a los vasos de precipitado de 800 mL.</w:t>
      </w:r>
    </w:p>
    <w:p w:rsidR="00000000" w:rsidDel="00000000" w:rsidP="00000000" w:rsidRDefault="00000000" w:rsidRPr="00000000" w14:paraId="00000057">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Tomar la muestra de la parte superior de las jarras sin perturbar la solución, para las determinaciones necesarias de turbiedad y pH (iniciales).</w:t>
      </w:r>
    </w:p>
    <w:p w:rsidR="00000000" w:rsidDel="00000000" w:rsidP="00000000" w:rsidRDefault="00000000" w:rsidRPr="00000000" w14:paraId="00000058">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Determine el pH y la turbidez de acuerdo </w:t>
      </w:r>
      <w:r w:rsidDel="00000000" w:rsidR="00000000" w:rsidRPr="00000000">
        <w:rPr>
          <w:rFonts w:ascii="Arial" w:cs="Arial" w:eastAsia="Arial" w:hAnsi="Arial"/>
          <w:rtl w:val="0"/>
        </w:rPr>
        <w:t xml:space="preserve">a los instructivos</w:t>
      </w:r>
      <w:r w:rsidDel="00000000" w:rsidR="00000000" w:rsidRPr="00000000">
        <w:rPr>
          <w:rFonts w:ascii="Arial" w:cs="Arial" w:eastAsia="Arial" w:hAnsi="Arial"/>
          <w:color w:val="000000"/>
          <w:rtl w:val="0"/>
        </w:rPr>
        <w:t xml:space="preserve"> del equipo.</w:t>
      </w:r>
    </w:p>
    <w:p w:rsidR="00000000" w:rsidDel="00000000" w:rsidP="00000000" w:rsidRDefault="00000000" w:rsidRPr="00000000" w14:paraId="00000059">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Asegure que el pH está entre 6 y 7, de lo contrario ajustar con NaOH 0,1 M o HCl 0,1 M según sea el caso.</w:t>
      </w:r>
    </w:p>
    <w:p w:rsidR="00000000" w:rsidDel="00000000" w:rsidP="00000000" w:rsidRDefault="00000000" w:rsidRPr="00000000" w14:paraId="0000005A">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Determine la adición del coagulante según tipo de agua residual, ensayos anteriores o recomendaciones bibliográficas. </w:t>
      </w:r>
    </w:p>
    <w:p w:rsidR="00000000" w:rsidDel="00000000" w:rsidP="00000000" w:rsidRDefault="00000000" w:rsidRPr="00000000" w14:paraId="0000005B">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Si desconoce la dosificación puede realizar un primer ensayo dosificando 4, 8, 12, 16, 20 y 24 mL de la solución coagulante. Con los resultados obtenidos revisar la efectividad de estas dosis y realizar otro ensayo.  </w:t>
      </w:r>
    </w:p>
    <w:p w:rsidR="00000000" w:rsidDel="00000000" w:rsidP="00000000" w:rsidRDefault="00000000" w:rsidRPr="00000000" w14:paraId="0000005C">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Añadir dosis progresivas de coagulante. La adición debe hacerse dentro del líquido y cerca de las paletas, en forma rápida y simultánea para las 6 muestras. El proceso de mezcla rápida debe hacerse durante 60 segundos a 100 rpm.</w:t>
      </w:r>
    </w:p>
    <w:p w:rsidR="00000000" w:rsidDel="00000000" w:rsidP="00000000" w:rsidRDefault="00000000" w:rsidRPr="00000000" w14:paraId="0000005D">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Luego de ese tiempo, disminuir la velocidad de rotación de las paletas a 40 rpm, y dejar  20 minutos.</w:t>
      </w:r>
    </w:p>
    <w:p w:rsidR="00000000" w:rsidDel="00000000" w:rsidP="00000000" w:rsidRDefault="00000000" w:rsidRPr="00000000" w14:paraId="0000005E">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Observar el tamaño del flóculo producido y evaluar cualitativamente según sus características y tiempo inicial de formación del flóculo. No siempre el flóculo que se forme más rápido es el mejor o el de mayor velocidad de sedimentación.</w:t>
      </w:r>
    </w:p>
    <w:p w:rsidR="00000000" w:rsidDel="00000000" w:rsidP="00000000" w:rsidRDefault="00000000" w:rsidRPr="00000000" w14:paraId="0000005F">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Suspender la agitación y extraer las paletas. Dejar sedimentar por 5 a 10 minutos.</w:t>
      </w:r>
    </w:p>
    <w:p w:rsidR="00000000" w:rsidDel="00000000" w:rsidP="00000000" w:rsidRDefault="00000000" w:rsidRPr="00000000" w14:paraId="00000060">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Tomar la muestra de la parte superior de las jarras sin perturbar la solución, para las determinaciones necesarias de turbiedad y pH.</w:t>
      </w:r>
    </w:p>
    <w:p w:rsidR="00000000" w:rsidDel="00000000" w:rsidP="00000000" w:rsidRDefault="00000000" w:rsidRPr="00000000" w14:paraId="00000061">
      <w:pPr>
        <w:numPr>
          <w:ilvl w:val="0"/>
          <w:numId w:val="8"/>
        </w:numPr>
        <w:pBdr>
          <w:top w:space="0" w:sz="0" w:val="nil"/>
          <w:left w:space="0" w:sz="0" w:val="nil"/>
          <w:bottom w:space="0" w:sz="0" w:val="nil"/>
          <w:right w:space="0" w:sz="0" w:val="nil"/>
          <w:between w:space="0" w:sz="0" w:val="nil"/>
        </w:pBdr>
        <w:ind w:left="135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Determinar la dosis óptima de coagulante (aquella que produce menor turbiedad</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64">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Medición de sólidos sedimentables con Cono Imhoff</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720" w:firstLine="0"/>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Agitar bien la muestra para homogeneizar.</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Llenar el cono Imhoff hasta la marca de 1 litro </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Dejar reposar el cono durante 45 minutos para que la gravedad actúe y se dé la Sedimentación Inicial.</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Pasados los 45 minutos, agitar suavemente las paredes internas del cono con una varilla de vidrio para desprender los sólidos adheridos a las paredes.</w:t>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Dejar reposar por otros 15 minutos adicionales para un total de 60 minutos de prueba.</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Registrar el volumen de sólidos sedimentados en la parte inferior del cono, medido en mililitros por litro. Se expresan como ml de sólidos sedimentables por litro de muestra (mL/L)</w:t>
      </w:r>
    </w:p>
    <w:p w:rsidR="00000000" w:rsidDel="00000000" w:rsidP="00000000" w:rsidRDefault="00000000" w:rsidRPr="00000000" w14:paraId="0000006C">
      <w:pPr>
        <w:pBdr>
          <w:top w:space="0" w:sz="0" w:val="nil"/>
          <w:left w:space="0" w:sz="0" w:val="nil"/>
          <w:bottom w:space="0" w:sz="0" w:val="nil"/>
          <w:right w:space="0" w:sz="0" w:val="nil"/>
          <w:between w:space="0" w:sz="0" w:val="nil"/>
        </w:pBdr>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6F">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Manejo de residuos peligrosos</w:t>
      </w:r>
    </w:p>
    <w:p w:rsidR="00000000" w:rsidDel="00000000" w:rsidP="00000000" w:rsidRDefault="00000000" w:rsidRPr="00000000" w14:paraId="00000070">
      <w:pPr>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Dependiendo de las características del agua residual determine si es necesario verterla como residuo peligroso o si se puede verter por cañería. </w:t>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Documentos de referencia</w:t>
      </w:r>
    </w:p>
    <w:p w:rsidR="00000000" w:rsidDel="00000000" w:rsidP="00000000" w:rsidRDefault="00000000" w:rsidRPr="00000000" w14:paraId="00000077">
      <w:pPr>
        <w:pBdr>
          <w:top w:space="0" w:sz="0" w:val="nil"/>
          <w:left w:space="0" w:sz="0" w:val="nil"/>
          <w:bottom w:space="0" w:sz="0" w:val="nil"/>
          <w:right w:space="0" w:sz="0" w:val="nil"/>
          <w:between w:space="0" w:sz="0" w:val="nil"/>
        </w:pBdr>
        <w:ind w:left="720" w:hanging="720"/>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78">
      <w:pPr>
        <w:numPr>
          <w:ilvl w:val="0"/>
          <w:numId w:val="9"/>
        </w:numPr>
        <w:pBdr>
          <w:top w:space="0" w:sz="0" w:val="nil"/>
          <w:left w:space="0" w:sz="0" w:val="nil"/>
          <w:bottom w:space="0" w:sz="0" w:val="nil"/>
          <w:right w:space="0" w:sz="0" w:val="nil"/>
          <w:between w:space="0" w:sz="0" w:val="nil"/>
        </w:pBdr>
        <w:ind w:left="1080" w:hanging="360"/>
        <w:rPr>
          <w:b w:val="1"/>
          <w:bCs w:val="1"/>
          <w:i w:val="1"/>
          <w:iCs w:val="1"/>
          <w:color w:val="000000"/>
        </w:rPr>
      </w:pPr>
      <w:r w:rsidDel="00000000" w:rsidR="00000000" w:rsidRPr="00000000">
        <w:rPr>
          <w:rFonts w:ascii="Arial" w:cs="Arial" w:eastAsia="Arial" w:hAnsi="Arial"/>
          <w:color w:val="000000"/>
          <w:rtl w:val="0"/>
        </w:rPr>
        <w:t xml:space="preserve">AMERICAN PUBLIC HEALTH ASSOCIATION. Standard Methods for the Examination of Water and Wastewater. 18th Edition. Washington , APHA, 1992. pp 2-36 - 2-38.</w:t>
      </w:r>
      <w:r w:rsidDel="00000000" w:rsidR="00000000" w:rsidRPr="00000000">
        <w:rPr>
          <w:rtl w:val="0"/>
        </w:rPr>
      </w:r>
    </w:p>
    <w:p w:rsidR="00000000" w:rsidDel="00000000" w:rsidP="00000000" w:rsidRDefault="00000000" w:rsidRPr="00000000" w14:paraId="00000079">
      <w:pPr>
        <w:rPr>
          <w:rFonts w:ascii="Arial" w:cs="Arial" w:eastAsia="Arial" w:hAnsi="Arial"/>
        </w:rPr>
      </w:pPr>
      <w:r w:rsidDel="00000000" w:rsidR="00000000" w:rsidRPr="00000000">
        <w:rPr>
          <w:rtl w:val="0"/>
        </w:rPr>
      </w:r>
    </w:p>
    <w:p w:rsidR="00000000" w:rsidDel="00000000" w:rsidP="00000000" w:rsidRDefault="00000000" w:rsidRPr="00000000" w14:paraId="0000007A">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rtl w:val="0"/>
        </w:rPr>
        <w:t xml:space="preserve">Anexos</w:t>
      </w:r>
    </w:p>
    <w:p w:rsidR="00000000" w:rsidDel="00000000" w:rsidP="00000000" w:rsidRDefault="00000000" w:rsidRPr="00000000" w14:paraId="0000007B">
      <w:pPr>
        <w:rPr>
          <w:rFonts w:ascii="Arial" w:cs="Arial" w:eastAsia="Arial" w:hAnsi="Arial"/>
        </w:rPr>
      </w:pPr>
      <w:r w:rsidDel="00000000" w:rsidR="00000000" w:rsidRPr="00000000">
        <w:rPr>
          <w:rtl w:val="0"/>
        </w:rPr>
      </w:r>
    </w:p>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No aplica.</w:t>
      </w:r>
    </w:p>
    <w:p w:rsidR="00000000" w:rsidDel="00000000" w:rsidP="00000000" w:rsidRDefault="00000000" w:rsidRPr="00000000" w14:paraId="0000007D">
      <w:pP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7E">
      <w:pPr>
        <w:jc w:val="cente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7F">
      <w:pPr>
        <w:jc w:val="cente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80">
      <w:pPr>
        <w:rPr>
          <w:rFonts w:ascii="Arial" w:cs="Arial" w:eastAsia="Arial" w:hAnsi="Arial"/>
          <w:b w:val="1"/>
          <w:bCs w:val="1"/>
          <w:highlight w:val="white"/>
        </w:rPr>
      </w:pPr>
      <w:r w:rsidDel="00000000" w:rsidR="00000000" w:rsidRPr="00000000">
        <w:rPr>
          <w:rtl w:val="0"/>
        </w:rPr>
      </w:r>
    </w:p>
    <w:p w:rsidR="00000000" w:rsidDel="00000000" w:rsidP="00000000" w:rsidRDefault="00000000" w:rsidRPr="00000000" w14:paraId="00000081">
      <w:pPr>
        <w:jc w:val="center"/>
        <w:rPr>
          <w:rFonts w:ascii="Arial" w:cs="Arial" w:eastAsia="Arial" w:hAnsi="Arial"/>
          <w:b w:val="1"/>
          <w:bCs w:val="1"/>
        </w:rPr>
      </w:pPr>
      <w:r w:rsidDel="00000000" w:rsidR="00000000" w:rsidRPr="00000000">
        <w:rPr>
          <w:rFonts w:ascii="Arial" w:cs="Arial" w:eastAsia="Arial" w:hAnsi="Arial"/>
          <w:b w:val="1"/>
          <w:bCs w:val="1"/>
          <w:highlight w:val="white"/>
          <w:rtl w:val="0"/>
        </w:rPr>
        <w:t xml:space="preserve">CONTROL DE DOCUMENTO</w:t>
      </w:r>
      <w:r w:rsidDel="00000000" w:rsidR="00000000" w:rsidRPr="00000000">
        <w:rPr>
          <w:rtl w:val="0"/>
        </w:rPr>
      </w:r>
    </w:p>
    <w:p w:rsidR="00000000" w:rsidDel="00000000" w:rsidP="00000000" w:rsidRDefault="00000000" w:rsidRPr="00000000" w14:paraId="00000082">
      <w:pPr>
        <w:rPr>
          <w:rFonts w:ascii="Arial" w:cs="Arial" w:eastAsia="Arial" w:hAnsi="Arial"/>
          <w:b w:val="1"/>
          <w:bCs w:val="1"/>
          <w:highlight w:val="lightGray"/>
        </w:rPr>
      </w:pPr>
      <w:r w:rsidDel="00000000" w:rsidR="00000000" w:rsidRPr="00000000">
        <w:rPr>
          <w:rtl w:val="0"/>
        </w:rPr>
      </w:r>
    </w:p>
    <w:tbl>
      <w:tblPr>
        <w:tblStyle w:val="Table2"/>
        <w:tblW w:w="973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2693"/>
        <w:gridCol w:w="2227"/>
        <w:gridCol w:w="1980"/>
        <w:gridCol w:w="1170"/>
        <w:tblGridChange w:id="0">
          <w:tblGrid>
            <w:gridCol w:w="1668"/>
            <w:gridCol w:w="2693"/>
            <w:gridCol w:w="2227"/>
            <w:gridCol w:w="1980"/>
            <w:gridCol w:w="1170"/>
          </w:tblGrid>
        </w:tblGridChange>
      </w:tblGrid>
      <w:tr>
        <w:trPr>
          <w:cantSplit w:val="0"/>
          <w:trHeight w:val="440" w:hRule="atLeast"/>
          <w:tblHeader w:val="0"/>
        </w:trPr>
        <w:tc>
          <w:tcPr/>
          <w:p w:rsidR="00000000" w:rsidDel="00000000" w:rsidP="00000000" w:rsidRDefault="00000000" w:rsidRPr="00000000" w14:paraId="00000083">
            <w:pPr>
              <w:jc w:val="center"/>
              <w:rPr>
                <w:rFonts w:ascii="Arial" w:cs="Arial" w:eastAsia="Arial" w:hAnsi="Arial"/>
                <w:b w:val="1"/>
                <w:bCs w:val="1"/>
              </w:rPr>
            </w:pPr>
            <w:r w:rsidDel="00000000" w:rsidR="00000000" w:rsidRPr="00000000">
              <w:rPr>
                <w:rtl w:val="0"/>
              </w:rPr>
            </w:r>
          </w:p>
        </w:tc>
        <w:tc>
          <w:tcPr>
            <w:vAlign w:val="center"/>
          </w:tcPr>
          <w:p w:rsidR="00000000" w:rsidDel="00000000" w:rsidP="00000000" w:rsidRDefault="00000000" w:rsidRPr="00000000" w14:paraId="0000008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Nombre</w:t>
            </w:r>
          </w:p>
        </w:tc>
        <w:tc>
          <w:tcPr>
            <w:vAlign w:val="center"/>
          </w:tcPr>
          <w:p w:rsidR="00000000" w:rsidDel="00000000" w:rsidP="00000000" w:rsidRDefault="00000000" w:rsidRPr="00000000" w14:paraId="0000008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Cargo</w:t>
            </w:r>
          </w:p>
        </w:tc>
        <w:tc>
          <w:tcPr>
            <w:vAlign w:val="center"/>
          </w:tcPr>
          <w:p w:rsidR="00000000" w:rsidDel="00000000" w:rsidP="00000000" w:rsidRDefault="00000000" w:rsidRPr="00000000" w14:paraId="0000008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Dependencia</w:t>
            </w:r>
          </w:p>
        </w:tc>
        <w:tc>
          <w:tcPr>
            <w:vAlign w:val="center"/>
          </w:tcPr>
          <w:p w:rsidR="00000000" w:rsidDel="00000000" w:rsidP="00000000" w:rsidRDefault="00000000" w:rsidRPr="00000000" w14:paraId="0000008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Fecha</w:t>
            </w:r>
          </w:p>
        </w:tc>
      </w:tr>
      <w:tr>
        <w:trPr>
          <w:cantSplit w:val="0"/>
          <w:tblHeader w:val="0"/>
        </w:trPr>
        <w:tc>
          <w:tcPr/>
          <w:p w:rsidR="00000000" w:rsidDel="00000000" w:rsidP="00000000" w:rsidRDefault="00000000" w:rsidRPr="00000000" w14:paraId="00000088">
            <w:pPr>
              <w:jc w:val="both"/>
              <w:rPr>
                <w:rFonts w:ascii="Arial" w:cs="Arial" w:eastAsia="Arial" w:hAnsi="Arial"/>
              </w:rPr>
            </w:pPr>
            <w:r w:rsidDel="00000000" w:rsidR="00000000" w:rsidRPr="00000000">
              <w:rPr>
                <w:rFonts w:ascii="Arial" w:cs="Arial" w:eastAsia="Arial" w:hAnsi="Arial"/>
                <w:rtl w:val="0"/>
              </w:rPr>
              <w:t xml:space="preserve">Elaboración</w:t>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8A">
            <w:pPr>
              <w:jc w:val="both"/>
              <w:rPr>
                <w:rFonts w:ascii="Arial" w:cs="Arial" w:eastAsia="Arial" w:hAnsi="Arial"/>
              </w:rPr>
            </w:pPr>
            <w:r w:rsidDel="00000000" w:rsidR="00000000" w:rsidRPr="00000000">
              <w:rPr>
                <w:rFonts w:ascii="Arial" w:cs="Arial" w:eastAsia="Arial" w:hAnsi="Arial"/>
                <w:rtl w:val="0"/>
              </w:rPr>
              <w:t xml:space="preserve">Sharon Galeano</w:t>
            </w:r>
          </w:p>
        </w:tc>
        <w:tc>
          <w:tcPr/>
          <w:p w:rsidR="00000000" w:rsidDel="00000000" w:rsidP="00000000" w:rsidRDefault="00000000" w:rsidRPr="00000000" w14:paraId="0000008B">
            <w:pPr>
              <w:jc w:val="both"/>
              <w:rPr>
                <w:rFonts w:ascii="Arial" w:cs="Arial" w:eastAsia="Arial" w:hAnsi="Arial"/>
              </w:rPr>
            </w:pPr>
            <w:r w:rsidDel="00000000" w:rsidR="00000000" w:rsidRPr="00000000">
              <w:rPr>
                <w:rFonts w:ascii="Arial" w:cs="Arial" w:eastAsia="Arial" w:hAnsi="Arial"/>
                <w:rtl w:val="0"/>
              </w:rPr>
              <w:t xml:space="preserve">Técnica de laboratorio</w:t>
            </w:r>
          </w:p>
        </w:tc>
        <w:tc>
          <w:tcPr/>
          <w:p w:rsidR="00000000" w:rsidDel="00000000" w:rsidP="00000000" w:rsidRDefault="00000000" w:rsidRPr="00000000" w14:paraId="0000008C">
            <w:pPr>
              <w:jc w:val="both"/>
              <w:rPr>
                <w:rFonts w:ascii="Arial" w:cs="Arial" w:eastAsia="Arial" w:hAnsi="Arial"/>
              </w:rPr>
            </w:pPr>
            <w:r w:rsidDel="00000000" w:rsidR="00000000" w:rsidRPr="00000000">
              <w:rPr>
                <w:rFonts w:ascii="Arial" w:cs="Arial" w:eastAsia="Arial" w:hAnsi="Arial"/>
                <w:rtl w:val="0"/>
              </w:rPr>
              <w:t xml:space="preserve">Ambiental</w:t>
            </w:r>
          </w:p>
        </w:tc>
        <w:tc>
          <w:tcPr>
            <w:vAlign w:val="center"/>
          </w:tcPr>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15/11/2017</w:t>
            </w:r>
          </w:p>
        </w:tc>
      </w:tr>
      <w:tr>
        <w:trPr>
          <w:cantSplit w:val="0"/>
          <w:tblHeader w:val="0"/>
        </w:trPr>
        <w:tc>
          <w:tcPr/>
          <w:p w:rsidR="00000000" w:rsidDel="00000000" w:rsidP="00000000" w:rsidRDefault="00000000" w:rsidRPr="00000000" w14:paraId="0000008E">
            <w:pPr>
              <w:jc w:val="both"/>
              <w:rPr>
                <w:rFonts w:ascii="Arial" w:cs="Arial" w:eastAsia="Arial" w:hAnsi="Arial"/>
              </w:rPr>
            </w:pPr>
            <w:r w:rsidDel="00000000" w:rsidR="00000000" w:rsidRPr="00000000">
              <w:rPr>
                <w:rFonts w:ascii="Arial" w:cs="Arial" w:eastAsia="Arial" w:hAnsi="Arial"/>
                <w:rtl w:val="0"/>
              </w:rPr>
              <w:t xml:space="preserve">Revisión</w:t>
            </w:r>
          </w:p>
          <w:p w:rsidR="00000000" w:rsidDel="00000000" w:rsidP="00000000" w:rsidRDefault="00000000" w:rsidRPr="00000000" w14:paraId="0000008F">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90">
            <w:pPr>
              <w:jc w:val="both"/>
              <w:rPr>
                <w:rFonts w:ascii="Arial" w:cs="Arial" w:eastAsia="Arial" w:hAnsi="Arial"/>
              </w:rPr>
            </w:pPr>
            <w:r w:rsidDel="00000000" w:rsidR="00000000" w:rsidRPr="00000000">
              <w:rPr>
                <w:rFonts w:ascii="Arial" w:cs="Arial" w:eastAsia="Arial" w:hAnsi="Arial"/>
                <w:rtl w:val="0"/>
              </w:rPr>
              <w:t xml:space="preserve">Javier Santana</w:t>
            </w:r>
          </w:p>
        </w:tc>
        <w:tc>
          <w:tcPr/>
          <w:p w:rsidR="00000000" w:rsidDel="00000000" w:rsidP="00000000" w:rsidRDefault="00000000" w:rsidRPr="00000000" w14:paraId="00000091">
            <w:pPr>
              <w:jc w:val="both"/>
              <w:rPr>
                <w:rFonts w:ascii="Arial" w:cs="Arial" w:eastAsia="Arial" w:hAnsi="Arial"/>
              </w:rPr>
            </w:pPr>
            <w:r w:rsidDel="00000000" w:rsidR="00000000" w:rsidRPr="00000000">
              <w:rPr>
                <w:rFonts w:ascii="Arial" w:cs="Arial" w:eastAsia="Arial" w:hAnsi="Arial"/>
                <w:rtl w:val="0"/>
              </w:rPr>
              <w:t xml:space="preserve">Líder laboratorio</w:t>
            </w:r>
          </w:p>
        </w:tc>
        <w:tc>
          <w:tcPr/>
          <w:p w:rsidR="00000000" w:rsidDel="00000000" w:rsidP="00000000" w:rsidRDefault="00000000" w:rsidRPr="00000000" w14:paraId="00000092">
            <w:pPr>
              <w:jc w:val="both"/>
              <w:rPr>
                <w:rFonts w:ascii="Arial" w:cs="Arial" w:eastAsia="Arial" w:hAnsi="Arial"/>
              </w:rPr>
            </w:pPr>
            <w:r w:rsidDel="00000000" w:rsidR="00000000" w:rsidRPr="00000000">
              <w:rPr>
                <w:rFonts w:ascii="Arial" w:cs="Arial" w:eastAsia="Arial" w:hAnsi="Arial"/>
                <w:rtl w:val="0"/>
              </w:rPr>
              <w:t xml:space="preserve">Ambiental</w:t>
            </w:r>
          </w:p>
        </w:tc>
        <w:tc>
          <w:tcPr>
            <w:vAlign w:val="center"/>
          </w:tcPr>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16/11/2017</w:t>
            </w:r>
          </w:p>
        </w:tc>
      </w:tr>
      <w:tr>
        <w:trPr>
          <w:cantSplit w:val="0"/>
          <w:tblHeader w:val="0"/>
        </w:trPr>
        <w:tc>
          <w:tcPr/>
          <w:p w:rsidR="00000000" w:rsidDel="00000000" w:rsidP="00000000" w:rsidRDefault="00000000" w:rsidRPr="00000000" w14:paraId="00000094">
            <w:pPr>
              <w:jc w:val="both"/>
              <w:rPr>
                <w:rFonts w:ascii="Arial" w:cs="Arial" w:eastAsia="Arial" w:hAnsi="Arial"/>
              </w:rPr>
            </w:pPr>
            <w:r w:rsidDel="00000000" w:rsidR="00000000" w:rsidRPr="00000000">
              <w:rPr>
                <w:rFonts w:ascii="Arial" w:cs="Arial" w:eastAsia="Arial" w:hAnsi="Arial"/>
                <w:rtl w:val="0"/>
              </w:rPr>
              <w:t xml:space="preserve">Aprobación</w:t>
            </w:r>
          </w:p>
          <w:p w:rsidR="00000000" w:rsidDel="00000000" w:rsidP="00000000" w:rsidRDefault="00000000" w:rsidRPr="00000000" w14:paraId="00000095">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96">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97">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98">
            <w:pPr>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99">
            <w:pPr>
              <w:rPr>
                <w:rFonts w:ascii="Arial" w:cs="Arial" w:eastAsia="Arial" w:hAnsi="Arial"/>
              </w:rPr>
            </w:pPr>
            <w:r w:rsidDel="00000000" w:rsidR="00000000" w:rsidRPr="00000000">
              <w:rPr>
                <w:rtl w:val="0"/>
              </w:rPr>
            </w:r>
          </w:p>
        </w:tc>
      </w:tr>
    </w:tbl>
    <w:p w:rsidR="00000000" w:rsidDel="00000000" w:rsidP="00000000" w:rsidRDefault="00000000" w:rsidRPr="00000000" w14:paraId="0000009A">
      <w:pPr>
        <w:rPr>
          <w:rFonts w:ascii="Arial" w:cs="Arial" w:eastAsia="Arial" w:hAnsi="Arial"/>
        </w:rPr>
      </w:pPr>
      <w:r w:rsidDel="00000000" w:rsidR="00000000" w:rsidRPr="00000000">
        <w:rPr>
          <w:rtl w:val="0"/>
        </w:rPr>
      </w:r>
    </w:p>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rPr>
          <w:rFonts w:ascii="Arial" w:cs="Arial" w:eastAsia="Arial" w:hAnsi="Arial"/>
        </w:rPr>
      </w:pPr>
      <w:r w:rsidDel="00000000" w:rsidR="00000000" w:rsidRPr="00000000">
        <w:rPr>
          <w:rtl w:val="0"/>
        </w:rPr>
      </w:r>
    </w:p>
    <w:p w:rsidR="00000000" w:rsidDel="00000000" w:rsidP="00000000" w:rsidRDefault="00000000" w:rsidRPr="00000000" w14:paraId="0000009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CONTROL DE CAMBIOS</w:t>
      </w:r>
    </w:p>
    <w:p w:rsidR="00000000" w:rsidDel="00000000" w:rsidP="00000000" w:rsidRDefault="00000000" w:rsidRPr="00000000" w14:paraId="0000009E">
      <w:pPr>
        <w:jc w:val="center"/>
        <w:rPr>
          <w:rFonts w:ascii="Arial" w:cs="Arial" w:eastAsia="Arial" w:hAnsi="Arial"/>
        </w:rPr>
      </w:pPr>
      <w:r w:rsidDel="00000000" w:rsidR="00000000" w:rsidRPr="00000000">
        <w:rPr>
          <w:rtl w:val="0"/>
        </w:rPr>
      </w:r>
    </w:p>
    <w:tbl>
      <w:tblPr>
        <w:tblStyle w:val="Table3"/>
        <w:tblW w:w="96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5"/>
        <w:gridCol w:w="1701"/>
        <w:gridCol w:w="4252"/>
        <w:gridCol w:w="2552"/>
        <w:tblGridChange w:id="0">
          <w:tblGrid>
            <w:gridCol w:w="1135"/>
            <w:gridCol w:w="1701"/>
            <w:gridCol w:w="4252"/>
            <w:gridCol w:w="2552"/>
          </w:tblGrid>
        </w:tblGridChange>
      </w:tblGrid>
      <w:tr>
        <w:trPr>
          <w:cantSplit w:val="0"/>
          <w:trHeight w:val="600" w:hRule="atLeast"/>
          <w:tblHeader w:val="0"/>
        </w:trPr>
        <w:tc>
          <w:tcPr/>
          <w:p w:rsidR="00000000" w:rsidDel="00000000" w:rsidP="00000000" w:rsidRDefault="00000000" w:rsidRPr="00000000" w14:paraId="0000009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Versión</w:t>
            </w:r>
          </w:p>
          <w:p w:rsidR="00000000" w:rsidDel="00000000" w:rsidP="00000000" w:rsidRDefault="00000000" w:rsidRPr="00000000" w14:paraId="000000A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No.</w:t>
            </w:r>
          </w:p>
        </w:tc>
        <w:tc>
          <w:tcPr/>
          <w:p w:rsidR="00000000" w:rsidDel="00000000" w:rsidP="00000000" w:rsidRDefault="00000000" w:rsidRPr="00000000" w14:paraId="000000A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Fecha de</w:t>
            </w:r>
          </w:p>
          <w:p w:rsidR="00000000" w:rsidDel="00000000" w:rsidP="00000000" w:rsidRDefault="00000000" w:rsidRPr="00000000" w14:paraId="000000A2">
            <w:pPr>
              <w:jc w:val="center"/>
              <w:rPr>
                <w:rFonts w:ascii="Arial" w:cs="Arial" w:eastAsia="Arial" w:hAnsi="Arial"/>
              </w:rPr>
            </w:pPr>
            <w:r w:rsidDel="00000000" w:rsidR="00000000" w:rsidRPr="00000000">
              <w:rPr>
                <w:rFonts w:ascii="Arial" w:cs="Arial" w:eastAsia="Arial" w:hAnsi="Arial"/>
                <w:b w:val="1"/>
                <w:bCs w:val="1"/>
                <w:rtl w:val="0"/>
              </w:rPr>
              <w:t xml:space="preserve">aprobación</w:t>
            </w:r>
            <w:r w:rsidDel="00000000" w:rsidR="00000000" w:rsidRPr="00000000">
              <w:rPr>
                <w:rtl w:val="0"/>
              </w:rPr>
            </w:r>
          </w:p>
        </w:tc>
        <w:tc>
          <w:tcPr/>
          <w:p w:rsidR="00000000" w:rsidDel="00000000" w:rsidP="00000000" w:rsidRDefault="00000000" w:rsidRPr="00000000" w14:paraId="000000A3">
            <w:pPr>
              <w:jc w:val="center"/>
              <w:rPr>
                <w:rFonts w:ascii="Arial" w:cs="Arial" w:eastAsia="Arial" w:hAnsi="Arial"/>
              </w:rPr>
            </w:pPr>
            <w:r w:rsidDel="00000000" w:rsidR="00000000" w:rsidRPr="00000000">
              <w:rPr>
                <w:rFonts w:ascii="Arial" w:cs="Arial" w:eastAsia="Arial" w:hAnsi="Arial"/>
                <w:b w:val="1"/>
                <w:bCs w:val="1"/>
                <w:rtl w:val="0"/>
              </w:rPr>
              <w:t xml:space="preserve">Descripción del cambio</w:t>
            </w:r>
            <w:r w:rsidDel="00000000" w:rsidR="00000000" w:rsidRPr="00000000">
              <w:rPr>
                <w:rtl w:val="0"/>
              </w:rPr>
            </w:r>
          </w:p>
        </w:tc>
        <w:tc>
          <w:tcPr/>
          <w:p w:rsidR="00000000" w:rsidDel="00000000" w:rsidP="00000000" w:rsidRDefault="00000000" w:rsidRPr="00000000" w14:paraId="000000A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Solicitó</w:t>
            </w:r>
          </w:p>
        </w:tc>
      </w:tr>
      <w:tr>
        <w:trPr>
          <w:cantSplit w:val="0"/>
          <w:trHeight w:val="1600" w:hRule="atLeast"/>
          <w:tblHeader w:val="0"/>
        </w:trPr>
        <w:tc>
          <w:tcPr/>
          <w:p w:rsidR="00000000" w:rsidDel="00000000" w:rsidP="00000000" w:rsidRDefault="00000000" w:rsidRPr="00000000" w14:paraId="000000A5">
            <w:pPr>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0A6">
            <w:pPr>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0A7">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8">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9">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A">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B">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C">
            <w:pPr>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AD">
            <w:pPr>
              <w:jc w:val="both"/>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0AE">
            <w:pPr>
              <w:rPr>
                <w:rFonts w:ascii="Arial" w:cs="Arial" w:eastAsia="Arial" w:hAnsi="Arial"/>
                <w:color w:val="ff0000"/>
              </w:rPr>
            </w:pPr>
            <w:r w:rsidDel="00000000" w:rsidR="00000000" w:rsidRPr="00000000">
              <w:rPr>
                <w:rtl w:val="0"/>
              </w:rPr>
            </w:r>
          </w:p>
        </w:tc>
      </w:tr>
    </w:tbl>
    <w:p w:rsidR="00000000" w:rsidDel="00000000" w:rsidP="00000000" w:rsidRDefault="00000000" w:rsidRPr="00000000" w14:paraId="000000AF">
      <w:pPr>
        <w:ind w:left="720" w:hanging="360"/>
        <w:rPr>
          <w:rFonts w:ascii="Arial" w:cs="Arial" w:eastAsia="Arial" w:hAnsi="Arial"/>
        </w:rPr>
      </w:pPr>
      <w:r w:rsidDel="00000000" w:rsidR="00000000" w:rsidRPr="00000000">
        <w:rPr>
          <w:rFonts w:ascii="Arial" w:cs="Arial" w:eastAsia="Arial" w:hAnsi="Arial"/>
          <w:rtl w:val="0"/>
        </w:rPr>
        <w:tab/>
        <w:tab/>
      </w:r>
    </w:p>
    <w:p w:rsidR="00000000" w:rsidDel="00000000" w:rsidP="00000000" w:rsidRDefault="00000000" w:rsidRPr="00000000" w14:paraId="000000B0">
      <w:pPr>
        <w:ind w:left="720" w:hanging="36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18" w:top="1418" w:left="1701" w:right="1469" w:header="568"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spacing w:line="276" w:lineRule="auto"/>
      <w:rPr/>
    </w:pPr>
    <w:r w:rsidDel="00000000" w:rsidR="00000000" w:rsidRPr="00000000">
      <w:rPr>
        <w:rtl w:val="0"/>
      </w:rPr>
    </w:r>
  </w:p>
  <w:tbl>
    <w:tblPr>
      <w:tblStyle w:val="Table6"/>
      <w:tblW w:w="39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
      <w:gridCol w:w="977"/>
      <w:gridCol w:w="453"/>
      <w:gridCol w:w="251"/>
      <w:gridCol w:w="883"/>
      <w:gridCol w:w="1088"/>
      <w:tblGridChange w:id="0">
        <w:tblGrid>
          <w:gridCol w:w="283"/>
          <w:gridCol w:w="977"/>
          <w:gridCol w:w="453"/>
          <w:gridCol w:w="251"/>
          <w:gridCol w:w="883"/>
          <w:gridCol w:w="1088"/>
        </w:tblGrid>
      </w:tblGridChange>
    </w:tblGrid>
    <w:tr>
      <w:trPr>
        <w:cantSplit w:val="0"/>
        <w:trHeight w:val="300" w:hRule="atLeast"/>
        <w:tblHeader w:val="0"/>
      </w:trPr>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14:paraId="000000C1">
          <w:pPr>
            <w:jc w:val="center"/>
            <w:rPr>
              <w:rFonts w:ascii="Arial" w:cs="Arial" w:eastAsia="Arial" w:hAnsi="Arial"/>
              <w:sz w:val="20"/>
              <w:szCs w:val="20"/>
            </w:rPr>
          </w:pP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0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Versión</w:t>
          </w:r>
        </w:p>
      </w:tc>
      <w:tc>
        <w:tcPr>
          <w:tcBorders>
            <w:left w:color="000000" w:space="0" w:sz="4" w:val="single"/>
            <w:right w:color="000000" w:space="0" w:sz="4" w:val="single"/>
          </w:tcBorders>
          <w:shd w:fill="ddd9c3" w:val="clear"/>
          <w:vAlign w:val="center"/>
        </w:tcPr>
        <w:p w:rsidR="00000000" w:rsidDel="00000000" w:rsidP="00000000" w:rsidRDefault="00000000" w:rsidRPr="00000000" w14:paraId="000000C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02</w:t>
          </w:r>
        </w:p>
      </w:tc>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14:paraId="000000C4">
          <w:pPr>
            <w:jc w:val="center"/>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Página</w:t>
          </w:r>
        </w:p>
      </w:tc>
      <w:tc>
        <w:tcPr>
          <w:shd w:fill="ddd9c3" w:val="clear"/>
          <w:vAlign w:val="center"/>
        </w:tcPr>
        <w:p w:rsidR="00000000" w:rsidDel="00000000" w:rsidP="00000000" w:rsidRDefault="00000000" w:rsidRPr="00000000" w14:paraId="000000C6">
          <w:pPr>
            <w:jc w:val="center"/>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C7">
    <w:pPr>
      <w:tabs>
        <w:tab w:val="center" w:leader="none" w:pos="4252"/>
        <w:tab w:val="right" w:leader="none" w:pos="8504"/>
      </w:tabs>
      <w:spacing w:after="709"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spacing w:line="276" w:lineRule="auto"/>
      <w:rPr/>
    </w:pPr>
    <w:r w:rsidDel="00000000" w:rsidR="00000000" w:rsidRPr="00000000">
      <w:rPr>
        <w:rtl w:val="0"/>
      </w:rPr>
    </w:r>
  </w:p>
  <w:tbl>
    <w:tblPr>
      <w:tblStyle w:val="Table7"/>
      <w:tblW w:w="39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
      <w:gridCol w:w="977"/>
      <w:gridCol w:w="453"/>
      <w:gridCol w:w="251"/>
      <w:gridCol w:w="883"/>
      <w:gridCol w:w="1088"/>
      <w:tblGridChange w:id="0">
        <w:tblGrid>
          <w:gridCol w:w="283"/>
          <w:gridCol w:w="977"/>
          <w:gridCol w:w="453"/>
          <w:gridCol w:w="251"/>
          <w:gridCol w:w="883"/>
          <w:gridCol w:w="1088"/>
        </w:tblGrid>
      </w:tblGridChange>
    </w:tblGrid>
    <w:tr>
      <w:trPr>
        <w:cantSplit w:val="0"/>
        <w:trHeight w:val="300" w:hRule="atLeast"/>
        <w:tblHeader w:val="0"/>
      </w:trPr>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14:paraId="000000C9">
          <w:pPr>
            <w:jc w:val="center"/>
            <w:rPr>
              <w:rFonts w:ascii="Arial" w:cs="Arial" w:eastAsia="Arial" w:hAnsi="Arial"/>
              <w:sz w:val="20"/>
              <w:szCs w:val="20"/>
            </w:rPr>
          </w:pP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0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Versión</w:t>
          </w:r>
        </w:p>
      </w:tc>
      <w:tc>
        <w:tcPr>
          <w:tcBorders>
            <w:left w:color="000000" w:space="0" w:sz="4" w:val="single"/>
            <w:right w:color="000000" w:space="0" w:sz="4" w:val="single"/>
          </w:tcBorders>
          <w:shd w:fill="ddd9c3" w:val="clear"/>
          <w:vAlign w:val="center"/>
        </w:tcPr>
        <w:p w:rsidR="00000000" w:rsidDel="00000000" w:rsidP="00000000" w:rsidRDefault="00000000" w:rsidRPr="00000000" w14:paraId="000000C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02</w:t>
          </w:r>
        </w:p>
      </w:tc>
      <w:tc>
        <w:tcPr>
          <w:tcBorders>
            <w:top w:color="000000" w:space="0" w:sz="0" w:val="nil"/>
            <w:left w:color="000000" w:space="0" w:sz="4" w:val="single"/>
            <w:bottom w:color="000000" w:space="0" w:sz="0" w:val="nil"/>
            <w:right w:color="000000" w:space="0" w:sz="4" w:val="single"/>
          </w:tcBorders>
          <w:vAlign w:val="center"/>
        </w:tcPr>
        <w:p w:rsidR="00000000" w:rsidDel="00000000" w:rsidP="00000000" w:rsidRDefault="00000000" w:rsidRPr="00000000" w14:paraId="000000CC">
          <w:pPr>
            <w:jc w:val="center"/>
            <w:rPr>
              <w:rFonts w:ascii="Arial" w:cs="Arial" w:eastAsia="Arial" w:hAnsi="Arial"/>
              <w:sz w:val="20"/>
              <w:szCs w:val="2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Página</w:t>
          </w:r>
        </w:p>
      </w:tc>
      <w:tc>
        <w:tcPr>
          <w:shd w:fill="ddd9c3" w:val="clear"/>
          <w:vAlign w:val="center"/>
        </w:tcPr>
        <w:p w:rsidR="00000000" w:rsidDel="00000000" w:rsidP="00000000" w:rsidRDefault="00000000" w:rsidRPr="00000000" w14:paraId="000000CE">
          <w:pPr>
            <w:jc w:val="center"/>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CF">
    <w:pPr>
      <w:tabs>
        <w:tab w:val="center" w:leader="none" w:pos="4252"/>
        <w:tab w:val="right" w:leader="none" w:pos="8504"/>
      </w:tabs>
      <w:spacing w:after="709" w:lineRule="auto"/>
      <w:rPr>
        <w:rFonts w:ascii="Arial" w:cs="Arial" w:eastAsia="Arial" w:hAnsi="Arial"/>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4"/>
      <w:tblW w:w="11691.000000000002" w:type="dxa"/>
      <w:jc w:val="left"/>
      <w:tblInd w:w="-115.0" w:type="dxa"/>
      <w:tblBorders>
        <w:bottom w:color="000000" w:space="0" w:sz="4" w:val="single"/>
      </w:tblBorders>
      <w:tblLayout w:type="fixed"/>
      <w:tblLook w:val="0000"/>
    </w:tblPr>
    <w:tblGrid>
      <w:gridCol w:w="9142"/>
      <w:gridCol w:w="2549"/>
      <w:tblGridChange w:id="0">
        <w:tblGrid>
          <w:gridCol w:w="9142"/>
          <w:gridCol w:w="2549"/>
        </w:tblGrid>
      </w:tblGridChange>
    </w:tblGrid>
    <w:tr>
      <w:trPr>
        <w:cantSplit w:val="0"/>
        <w:trHeight w:val="340" w:hRule="atLeast"/>
        <w:tblHeader w:val="0"/>
      </w:trPr>
      <w:tc>
        <w:tcPr>
          <w:tcBorders>
            <w:top w:color="000000" w:space="0" w:sz="0" w:val="nil"/>
            <w:bottom w:color="000000" w:space="0" w:sz="4" w:val="single"/>
          </w:tcBorders>
        </w:tcPr>
        <w:p w:rsidR="00000000" w:rsidDel="00000000" w:rsidP="00000000" w:rsidRDefault="00000000" w:rsidRPr="00000000" w14:paraId="000000B2">
          <w:pPr>
            <w:tabs>
              <w:tab w:val="center" w:leader="none" w:pos="4252"/>
              <w:tab w:val="right" w:leader="none" w:pos="8504"/>
            </w:tabs>
            <w:ind w:right="-2241"/>
            <w:rPr>
              <w:rFonts w:ascii="Arial" w:cs="Arial" w:eastAsia="Arial" w:hAnsi="Arial"/>
              <w:sz w:val="20"/>
              <w:szCs w:val="20"/>
            </w:rPr>
          </w:pPr>
          <w:r w:rsidDel="00000000" w:rsidR="00000000" w:rsidRPr="00000000">
            <w:rPr>
              <w:rFonts w:ascii="Arial" w:cs="Arial" w:eastAsia="Arial" w:hAnsi="Arial"/>
              <w:sz w:val="20"/>
              <w:szCs w:val="20"/>
              <w:rtl w:val="0"/>
            </w:rPr>
            <w:t xml:space="preserve">QAI-ACE1-016-instructivo de </w:t>
          </w:r>
          <w:r w:rsidDel="00000000" w:rsidR="00000000" w:rsidRPr="00000000">
            <w:rPr>
              <w:rFonts w:ascii="Arial" w:cs="Arial" w:eastAsia="Arial" w:hAnsi="Arial"/>
              <w:color w:val="000000"/>
              <w:sz w:val="20"/>
              <w:szCs w:val="20"/>
              <w:rtl w:val="0"/>
            </w:rPr>
            <w:t xml:space="preserve">test de jarras para determinación de concentración de coagulante</w:t>
          </w: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B3">
          <w:pPr>
            <w:tabs>
              <w:tab w:val="center" w:leader="none" w:pos="4252"/>
              <w:tab w:val="right" w:leader="none" w:pos="8504"/>
            </w:tabs>
            <w:ind w:left="1064" w:firstLine="0"/>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4">
    <w:pPr>
      <w:tabs>
        <w:tab w:val="center" w:leader="none" w:pos="4252"/>
        <w:tab w:val="right" w:leader="none" w:pos="8504"/>
      </w:tabs>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5"/>
      <w:tblW w:w="9782.0" w:type="dxa"/>
      <w:jc w:val="left"/>
      <w:tblInd w:w="-5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379"/>
      <w:gridCol w:w="1559"/>
      <w:tblGridChange w:id="0">
        <w:tblGrid>
          <w:gridCol w:w="1844"/>
          <w:gridCol w:w="6379"/>
          <w:gridCol w:w="1559"/>
        </w:tblGrid>
      </w:tblGridChange>
    </w:tblGrid>
    <w:tr>
      <w:trPr>
        <w:cantSplit w:val="0"/>
        <w:trHeight w:val="940" w:hRule="atLeast"/>
        <w:tblHeader w:val="0"/>
      </w:trPr>
      <w:tc>
        <w:tcPr/>
        <w:p w:rsidR="00000000" w:rsidDel="00000000" w:rsidP="00000000" w:rsidRDefault="00000000" w:rsidRPr="00000000" w14:paraId="000000B6">
          <w:pPr>
            <w:widowControl w:val="1"/>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color w:val="000000"/>
              <w:sz w:val="16"/>
              <w:szCs w:val="16"/>
            </w:rPr>
          </w:pPr>
          <w:r w:rsidDel="00000000" w:rsidR="00000000" w:rsidRPr="00000000">
            <w:rPr>
              <w:rFonts w:ascii="Arial" w:cs="Arial" w:eastAsia="Arial" w:hAnsi="Arial"/>
              <w:color w:val="000000"/>
              <w:sz w:val="16"/>
              <w:szCs w:val="16"/>
            </w:rPr>
            <w:drawing>
              <wp:inline distB="114300" distT="114300" distL="114300" distR="114300">
                <wp:extent cx="1035646" cy="51782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35646" cy="517823"/>
                        </a:xfrm>
                        <a:prstGeom prst="rect"/>
                        <a:ln/>
                      </pic:spPr>
                    </pic:pic>
                  </a:graphicData>
                </a:graphic>
              </wp:inline>
            </w:drawing>
          </w:r>
          <w:r w:rsidDel="00000000" w:rsidR="00000000" w:rsidRPr="00000000">
            <w:rPr>
              <w:rtl w:val="0"/>
            </w:rPr>
          </w:r>
        </w:p>
        <w:p w:rsidR="00000000" w:rsidDel="00000000" w:rsidP="00000000" w:rsidRDefault="00000000" w:rsidRPr="00000000" w14:paraId="000000B7">
          <w:pPr>
            <w:widowControl w:val="1"/>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color w:val="000000"/>
              <w:sz w:val="16"/>
              <w:szCs w:val="16"/>
            </w:rPr>
          </w:pPr>
          <w:r w:rsidDel="00000000" w:rsidR="00000000" w:rsidRPr="00000000">
            <w:rPr>
              <w:rtl w:val="0"/>
            </w:rPr>
          </w:r>
        </w:p>
      </w:tc>
      <w:tc>
        <w:tcPr>
          <w:vAlign w:val="center"/>
        </w:tcPr>
        <w:p w:rsidR="00000000" w:rsidDel="00000000" w:rsidP="00000000" w:rsidRDefault="00000000" w:rsidRPr="00000000" w14:paraId="000000B8">
          <w:pPr>
            <w:widowControl w:val="1"/>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SERVICIO NACIONAL DE APRENDIZAJE SENA</w:t>
          </w:r>
        </w:p>
        <w:p w:rsidR="00000000" w:rsidDel="00000000" w:rsidP="00000000" w:rsidRDefault="00000000" w:rsidRPr="00000000" w14:paraId="000000B9">
          <w:pPr>
            <w:widowControl w:val="1"/>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Regional Distrito Capital - Centro de Gestión Industrial</w:t>
          </w:r>
        </w:p>
        <w:p w:rsidR="00000000" w:rsidDel="00000000" w:rsidP="00000000" w:rsidRDefault="00000000" w:rsidRPr="00000000" w14:paraId="000000BA">
          <w:pPr>
            <w:widowControl w:val="1"/>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TEST DE JARRAS PARA DETERMINACIÓN DE CONCENTRACION DE COAGULANTES EN AGUAS </w:t>
          </w:r>
        </w:p>
        <w:p w:rsidR="00000000" w:rsidDel="00000000" w:rsidP="00000000" w:rsidRDefault="00000000" w:rsidRPr="00000000" w14:paraId="000000BB">
          <w:pPr>
            <w:widowControl w:val="1"/>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LABORATORIO AMBIENTAL</w:t>
          </w:r>
        </w:p>
        <w:p w:rsidR="00000000" w:rsidDel="00000000" w:rsidP="00000000" w:rsidRDefault="00000000" w:rsidRPr="00000000" w14:paraId="000000BC">
          <w:pPr>
            <w:widowControl w:val="1"/>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color w:val="000000"/>
            </w:rPr>
          </w:pPr>
          <w:r w:rsidDel="00000000" w:rsidR="00000000" w:rsidRPr="00000000">
            <w:rPr>
              <w:rFonts w:ascii="Arial" w:cs="Arial" w:eastAsia="Arial" w:hAnsi="Arial"/>
              <w:color w:val="000000"/>
              <w:sz w:val="16"/>
              <w:szCs w:val="16"/>
              <w:rtl w:val="0"/>
            </w:rPr>
            <w:t xml:space="preserve">TOR 102</w:t>
          </w:r>
          <w:r w:rsidDel="00000000" w:rsidR="00000000" w:rsidRPr="00000000">
            <w:rPr>
              <w:rtl w:val="0"/>
            </w:rPr>
          </w:r>
        </w:p>
      </w:tc>
      <w:tc>
        <w:tcPr>
          <w:vAlign w:val="center"/>
        </w:tcPr>
        <w:p w:rsidR="00000000" w:rsidDel="00000000" w:rsidP="00000000" w:rsidRDefault="00000000" w:rsidRPr="00000000" w14:paraId="000000BD">
          <w:pPr>
            <w:widowControl w:val="1"/>
            <w:pBdr>
              <w:top w:color="000000" w:space="0" w:sz="0" w:val="none"/>
              <w:left w:color="000000" w:space="0" w:sz="0" w:val="none"/>
              <w:bottom w:color="000000" w:space="0" w:sz="0" w:val="none"/>
              <w:right w:color="000000" w:space="0" w:sz="0" w:val="none"/>
              <w:between w:color="000000" w:space="0" w:sz="0" w:val="none"/>
            </w:pBdr>
            <w:spacing w:after="80" w:before="8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02</w:t>
          </w:r>
        </w:p>
        <w:p w:rsidR="00000000" w:rsidDel="00000000" w:rsidP="00000000" w:rsidRDefault="00000000" w:rsidRPr="00000000" w14:paraId="000000BE">
          <w:pPr>
            <w:widowControl w:val="1"/>
            <w:pBdr>
              <w:top w:color="000000" w:space="0" w:sz="0" w:val="none"/>
              <w:left w:color="000000" w:space="0" w:sz="0" w:val="none"/>
              <w:bottom w:color="000000" w:space="0" w:sz="0" w:val="none"/>
              <w:right w:color="000000" w:space="0" w:sz="0" w:val="none"/>
              <w:between w:color="000000" w:space="0" w:sz="0" w:val="none"/>
            </w:pBdr>
            <w:spacing w:after="80" w:before="8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6"/>
              <w:szCs w:val="16"/>
              <w:rtl w:val="0"/>
            </w:rPr>
            <w:t xml:space="preserve">Fecha: enero de 2019</w:t>
          </w:r>
          <w:r w:rsidDel="00000000" w:rsidR="00000000" w:rsidRPr="00000000">
            <w:rPr>
              <w:rtl w:val="0"/>
            </w:rPr>
          </w:r>
        </w:p>
      </w:tc>
    </w:tr>
  </w:tbl>
  <w:p w:rsidR="00000000" w:rsidDel="00000000" w:rsidP="00000000" w:rsidRDefault="00000000" w:rsidRPr="00000000" w14:paraId="000000BF">
    <w:pPr>
      <w:tabs>
        <w:tab w:val="center" w:leader="none" w:pos="4252"/>
        <w:tab w:val="right" w:leader="none" w:pos="8504"/>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18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18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180"/>
      </w:pPr>
      <w:rPr/>
    </w:lvl>
  </w:abstractNum>
  <w:abstractNum w:abstractNumId="2">
    <w:lvl w:ilvl="0">
      <w:start w:val="1"/>
      <w:numFmt w:val="lowerLetter"/>
      <w:lvlText w:val="%1."/>
      <w:lvlJc w:val="left"/>
      <w:pPr>
        <w:ind w:left="1440" w:hanging="360"/>
      </w:pPr>
      <w:rPr>
        <w:b w:val="1"/>
        <w:bCs w:val="1"/>
        <w:i w:val="1"/>
        <w:iCs w:val="1"/>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1713" w:hanging="360"/>
      </w:pPr>
      <w:rPr>
        <w:rFonts w:ascii="Noto Sans Symbols" w:cs="Noto Sans Symbols" w:eastAsia="Noto Sans Symbols" w:hAnsi="Noto Sans Symbols"/>
      </w:rPr>
    </w:lvl>
    <w:lvl w:ilvl="1">
      <w:start w:val="1"/>
      <w:numFmt w:val="bullet"/>
      <w:lvlText w:val="o"/>
      <w:lvlJc w:val="left"/>
      <w:pPr>
        <w:ind w:left="2433" w:hanging="360"/>
      </w:pPr>
      <w:rPr>
        <w:rFonts w:ascii="Courier New" w:cs="Courier New" w:eastAsia="Courier New" w:hAnsi="Courier New"/>
      </w:rPr>
    </w:lvl>
    <w:lvl w:ilvl="2">
      <w:start w:val="1"/>
      <w:numFmt w:val="bullet"/>
      <w:lvlText w:val="▪"/>
      <w:lvlJc w:val="left"/>
      <w:pPr>
        <w:ind w:left="3153" w:hanging="360"/>
      </w:pPr>
      <w:rPr>
        <w:rFonts w:ascii="Noto Sans Symbols" w:cs="Noto Sans Symbols" w:eastAsia="Noto Sans Symbols" w:hAnsi="Noto Sans Symbols"/>
      </w:rPr>
    </w:lvl>
    <w:lvl w:ilvl="3">
      <w:start w:val="1"/>
      <w:numFmt w:val="bullet"/>
      <w:lvlText w:val="●"/>
      <w:lvlJc w:val="left"/>
      <w:pPr>
        <w:ind w:left="3873" w:hanging="360"/>
      </w:pPr>
      <w:rPr>
        <w:rFonts w:ascii="Noto Sans Symbols" w:cs="Noto Sans Symbols" w:eastAsia="Noto Sans Symbols" w:hAnsi="Noto Sans Symbols"/>
      </w:rPr>
    </w:lvl>
    <w:lvl w:ilvl="4">
      <w:start w:val="1"/>
      <w:numFmt w:val="bullet"/>
      <w:lvlText w:val="o"/>
      <w:lvlJc w:val="left"/>
      <w:pPr>
        <w:ind w:left="4593" w:hanging="360"/>
      </w:pPr>
      <w:rPr>
        <w:rFonts w:ascii="Courier New" w:cs="Courier New" w:eastAsia="Courier New" w:hAnsi="Courier New"/>
      </w:rPr>
    </w:lvl>
    <w:lvl w:ilvl="5">
      <w:start w:val="1"/>
      <w:numFmt w:val="bullet"/>
      <w:lvlText w:val="▪"/>
      <w:lvlJc w:val="left"/>
      <w:pPr>
        <w:ind w:left="5313" w:hanging="360"/>
      </w:pPr>
      <w:rPr>
        <w:rFonts w:ascii="Noto Sans Symbols" w:cs="Noto Sans Symbols" w:eastAsia="Noto Sans Symbols" w:hAnsi="Noto Sans Symbols"/>
      </w:rPr>
    </w:lvl>
    <w:lvl w:ilvl="6">
      <w:start w:val="1"/>
      <w:numFmt w:val="bullet"/>
      <w:lvlText w:val="●"/>
      <w:lvlJc w:val="left"/>
      <w:pPr>
        <w:ind w:left="6033" w:hanging="360"/>
      </w:pPr>
      <w:rPr>
        <w:rFonts w:ascii="Noto Sans Symbols" w:cs="Noto Sans Symbols" w:eastAsia="Noto Sans Symbols" w:hAnsi="Noto Sans Symbols"/>
      </w:rPr>
    </w:lvl>
    <w:lvl w:ilvl="7">
      <w:start w:val="1"/>
      <w:numFmt w:val="bullet"/>
      <w:lvlText w:val="o"/>
      <w:lvlJc w:val="left"/>
      <w:pPr>
        <w:ind w:left="6753" w:hanging="360"/>
      </w:pPr>
      <w:rPr>
        <w:rFonts w:ascii="Courier New" w:cs="Courier New" w:eastAsia="Courier New" w:hAnsi="Courier New"/>
      </w:rPr>
    </w:lvl>
    <w:lvl w:ilvl="8">
      <w:start w:val="1"/>
      <w:numFmt w:val="bullet"/>
      <w:lvlText w:val="▪"/>
      <w:lvlJc w:val="left"/>
      <w:pPr>
        <w:ind w:left="7473" w:hanging="360"/>
      </w:pPr>
      <w:rPr>
        <w:rFonts w:ascii="Noto Sans Symbols" w:cs="Noto Sans Symbols" w:eastAsia="Noto Sans Symbols" w:hAnsi="Noto Sans Symbols"/>
      </w:rPr>
    </w:lvl>
  </w:abstractNum>
  <w:abstractNum w:abstractNumId="4">
    <w:lvl w:ilvl="0">
      <w:start w:val="1"/>
      <w:numFmt w:val="bullet"/>
      <w:lvlText w:val="●"/>
      <w:lvlJc w:val="left"/>
      <w:pPr>
        <w:ind w:left="1713" w:hanging="360"/>
      </w:pPr>
      <w:rPr>
        <w:rFonts w:ascii="Noto Sans Symbols" w:cs="Noto Sans Symbols" w:eastAsia="Noto Sans Symbols" w:hAnsi="Noto Sans Symbols"/>
      </w:rPr>
    </w:lvl>
    <w:lvl w:ilvl="1">
      <w:start w:val="1"/>
      <w:numFmt w:val="bullet"/>
      <w:lvlText w:val="o"/>
      <w:lvlJc w:val="left"/>
      <w:pPr>
        <w:ind w:left="2433" w:hanging="360"/>
      </w:pPr>
      <w:rPr>
        <w:rFonts w:ascii="Courier New" w:cs="Courier New" w:eastAsia="Courier New" w:hAnsi="Courier New"/>
      </w:rPr>
    </w:lvl>
    <w:lvl w:ilvl="2">
      <w:start w:val="1"/>
      <w:numFmt w:val="bullet"/>
      <w:lvlText w:val="▪"/>
      <w:lvlJc w:val="left"/>
      <w:pPr>
        <w:ind w:left="3153" w:hanging="360"/>
      </w:pPr>
      <w:rPr>
        <w:rFonts w:ascii="Noto Sans Symbols" w:cs="Noto Sans Symbols" w:eastAsia="Noto Sans Symbols" w:hAnsi="Noto Sans Symbols"/>
      </w:rPr>
    </w:lvl>
    <w:lvl w:ilvl="3">
      <w:start w:val="1"/>
      <w:numFmt w:val="bullet"/>
      <w:lvlText w:val="●"/>
      <w:lvlJc w:val="left"/>
      <w:pPr>
        <w:ind w:left="3873" w:hanging="360"/>
      </w:pPr>
      <w:rPr>
        <w:rFonts w:ascii="Noto Sans Symbols" w:cs="Noto Sans Symbols" w:eastAsia="Noto Sans Symbols" w:hAnsi="Noto Sans Symbols"/>
      </w:rPr>
    </w:lvl>
    <w:lvl w:ilvl="4">
      <w:start w:val="1"/>
      <w:numFmt w:val="bullet"/>
      <w:lvlText w:val="o"/>
      <w:lvlJc w:val="left"/>
      <w:pPr>
        <w:ind w:left="4593" w:hanging="360"/>
      </w:pPr>
      <w:rPr>
        <w:rFonts w:ascii="Courier New" w:cs="Courier New" w:eastAsia="Courier New" w:hAnsi="Courier New"/>
      </w:rPr>
    </w:lvl>
    <w:lvl w:ilvl="5">
      <w:start w:val="1"/>
      <w:numFmt w:val="bullet"/>
      <w:lvlText w:val="▪"/>
      <w:lvlJc w:val="left"/>
      <w:pPr>
        <w:ind w:left="5313" w:hanging="360"/>
      </w:pPr>
      <w:rPr>
        <w:rFonts w:ascii="Noto Sans Symbols" w:cs="Noto Sans Symbols" w:eastAsia="Noto Sans Symbols" w:hAnsi="Noto Sans Symbols"/>
      </w:rPr>
    </w:lvl>
    <w:lvl w:ilvl="6">
      <w:start w:val="1"/>
      <w:numFmt w:val="bullet"/>
      <w:lvlText w:val="●"/>
      <w:lvlJc w:val="left"/>
      <w:pPr>
        <w:ind w:left="6033" w:hanging="360"/>
      </w:pPr>
      <w:rPr>
        <w:rFonts w:ascii="Noto Sans Symbols" w:cs="Noto Sans Symbols" w:eastAsia="Noto Sans Symbols" w:hAnsi="Noto Sans Symbols"/>
      </w:rPr>
    </w:lvl>
    <w:lvl w:ilvl="7">
      <w:start w:val="1"/>
      <w:numFmt w:val="bullet"/>
      <w:lvlText w:val="o"/>
      <w:lvlJc w:val="left"/>
      <w:pPr>
        <w:ind w:left="6753" w:hanging="360"/>
      </w:pPr>
      <w:rPr>
        <w:rFonts w:ascii="Courier New" w:cs="Courier New" w:eastAsia="Courier New" w:hAnsi="Courier New"/>
      </w:rPr>
    </w:lvl>
    <w:lvl w:ilvl="8">
      <w:start w:val="1"/>
      <w:numFmt w:val="bullet"/>
      <w:lvlText w:val="▪"/>
      <w:lvlJc w:val="left"/>
      <w:pPr>
        <w:ind w:left="7473"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Letter"/>
      <w:lvlText w:val="%1)"/>
      <w:lvlJc w:val="left"/>
      <w:pPr>
        <w:ind w:left="1353" w:hanging="359.9999999999999"/>
      </w:pPr>
      <w:rPr>
        <w:b w:val="1"/>
        <w:bCs w:val="1"/>
        <w:i w:val="1"/>
        <w:iCs w:val="1"/>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9">
    <w:lvl w:ilvl="0">
      <w:start w:val="9"/>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276" w:lineRule="auto"/>
    </w:pPr>
    <w:rPr>
      <w:rFonts w:ascii="Verdana" w:cs="Verdana" w:eastAsia="Verdana" w:hAnsi="Verdana"/>
      <w:b w:val="1"/>
      <w:bCs w:val="1"/>
      <w:sz w:val="32"/>
      <w:szCs w:val="32"/>
    </w:rPr>
  </w:style>
  <w:style w:type="paragraph" w:styleId="Heading2">
    <w:name w:val="heading 2"/>
    <w:basedOn w:val="Normal"/>
    <w:next w:val="Normal"/>
    <w:pPr>
      <w:keepNext w:val="1"/>
      <w:spacing w:after="60" w:before="240" w:line="276" w:lineRule="auto"/>
    </w:pPr>
    <w:rPr>
      <w:rFonts w:ascii="Cambria" w:cs="Cambria" w:eastAsia="Cambria" w:hAnsi="Cambria"/>
      <w:b w:val="1"/>
      <w:bCs w:val="1"/>
      <w:i w:val="1"/>
      <w:iCs w:val="1"/>
      <w:sz w:val="28"/>
      <w:szCs w:val="28"/>
    </w:rPr>
  </w:style>
  <w:style w:type="paragraph" w:styleId="Heading3">
    <w:name w:val="heading 3"/>
    <w:basedOn w:val="Normal"/>
    <w:next w:val="Normal"/>
    <w:pPr>
      <w:keepNext w:val="1"/>
      <w:spacing w:after="60" w:before="240" w:line="276" w:lineRule="auto"/>
    </w:pPr>
    <w:rPr>
      <w:rFonts w:ascii="Cambria" w:cs="Cambria" w:eastAsia="Cambria" w:hAnsi="Cambria"/>
      <w:b w:val="1"/>
      <w:bCs w:val="1"/>
      <w:sz w:val="26"/>
      <w:szCs w:val="26"/>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LPSXy1lwueo/ctCf9ZQ4ludofQ==">CgMxLjAyDmgud2hxdnd4dGxmODIwMg5oLjdyNTRnaTk0dW9rODgAciExaWxOVjFaRHEwbEtSVTdGa1AyLTEyRjYwZTdBd1ZRLUk=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